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000000"/>
        </w:rPr>
        <w:t>Transfer Impact Assessment – working template</w:t>
      </w:r>
    </w:p>
    <w:p>
      <w:pPr>
        <w:ind w:right="1800"/>
      </w:pPr>
      <w:r>
        <w:rPr>
          <w:rFonts w:ascii="Arial" w:hAnsi="Arial"/>
        </w:rPr>
        <w:t>Publisher: T-NEX · Template version: 10 September 2026 · Language: English</w:t>
      </w:r>
    </w:p>
    <w:p>
      <w:pPr>
        <w:ind w:right="1800"/>
      </w:pPr>
      <w:r>
        <w:rPr>
          <w:rFonts w:ascii="Arial" w:hAnsi="Arial"/>
        </w:rPr>
        <w:t>Use this template to document an assessment of a specific transfer. It contains no assessment of a country, supplier or project. Download the Markdown file, open it in a text editor and replace the fields in square brackets. Add rows or sections for further data flows, parties and findings. Where a question does not apply, record “not applicable” with a reason; keep unknown information visibly unresolved.</w:t>
      </w:r>
    </w:p>
    <w:p>
      <w:pPr>
        <w:ind w:right="1800"/>
      </w:pPr>
      <w:r>
        <w:rPr>
          <w:rFonts w:ascii="Arial" w:hAnsi="Arial"/>
        </w:rPr>
        <w:t>Assign evidence identifiers, such as S-01 for sources and E-01 for technical evidence. Linked or retained records need to show the state actually assessed. A tick or a general supplier promise does not replace the reasoning.</w:t>
      </w:r>
    </w:p>
    <w:p>
      <w:pPr>
        <w:pStyle w:val="Heading1"/>
      </w:pPr>
      <w:r>
        <w:rPr>
          <w:rFonts w:ascii="Arial" w:hAnsi="Arial"/>
          <w:color w:val="000000"/>
        </w:rPr>
        <w:t>0. Document and responsibility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Item</w:t>
            </w:r>
          </w:p>
        </w:tc>
        <w:tc>
          <w:tcPr>
            <w:tcW w:type="dxa" w:w="8714"/>
            <w:vAlign w:val="center"/>
            <w:shd w:fill="222222"/>
          </w:tcPr>
          <w:p>
            <w:pPr>
              <w:keepNext/>
              <w:spacing w:after="0" w:before="0" w:line="264" w:lineRule="auto"/>
            </w:pPr>
            <w:r>
              <w:rPr>
                <w:rFonts w:ascii="Arial" w:hAnsi="Arial"/>
                <w:b/>
                <w:color w:val="FFFFFF"/>
                <w:sz w:val="20"/>
              </w:rPr>
              <w:t>Entry</w:t>
            </w:r>
          </w:p>
        </w:tc>
      </w:tr>
      <w:tr>
        <w:trPr>
          <w:cantSplit/>
        </w:trPr>
        <w:tc>
          <w:tcPr>
            <w:tcW w:type="dxa" w:w="5341"/>
            <w:vAlign w:val="center"/>
            <w:shd w:fill="FFFFFF"/>
          </w:tcPr>
          <w:p>
            <w:pPr>
              <w:spacing w:after="0" w:before="0" w:line="264" w:lineRule="auto"/>
            </w:pPr>
            <w:r>
              <w:rPr>
                <w:rFonts w:ascii="Arial" w:hAnsi="Arial"/>
                <w:color w:val="111111"/>
                <w:sz w:val="20"/>
              </w:rPr>
              <w:t>Organisation / project / service</w:t>
            </w:r>
          </w:p>
        </w:tc>
        <w:tc>
          <w:tcPr>
            <w:tcW w:type="dxa" w:w="8714"/>
            <w:vAlign w:val="center"/>
            <w:shd w:fill="FFFFFF"/>
          </w:tcPr>
          <w:p>
            <w:pPr>
              <w:spacing w:after="0" w:before="0" w:line="264" w:lineRule="auto"/>
            </w:pPr>
            <w:r>
              <w:rPr>
                <w:rFonts w:ascii="Arial" w:hAnsi="Arial"/>
                <w:color w:val="111111"/>
                <w:sz w:val="20"/>
              </w:rPr>
              <w:t>[complete]</w:t>
            </w:r>
          </w:p>
        </w:tc>
      </w:tr>
      <w:tr>
        <w:trPr>
          <w:cantSplit/>
        </w:trPr>
        <w:tc>
          <w:tcPr>
            <w:tcW w:type="dxa" w:w="5341"/>
            <w:vAlign w:val="center"/>
            <w:shd w:fill="F4F5F5"/>
          </w:tcPr>
          <w:p>
            <w:pPr>
              <w:spacing w:after="0" w:before="0" w:line="264" w:lineRule="auto"/>
            </w:pPr>
            <w:r>
              <w:rPr>
                <w:rFonts w:ascii="Arial" w:hAnsi="Arial"/>
                <w:color w:val="111111"/>
                <w:sz w:val="20"/>
              </w:rPr>
              <w:t>TIA identifier and document version</w:t>
            </w:r>
          </w:p>
        </w:tc>
        <w:tc>
          <w:tcPr>
            <w:tcW w:type="dxa" w:w="8714"/>
            <w:vAlign w:val="center"/>
            <w:shd w:fill="F4F5F5"/>
          </w:tcPr>
          <w:p>
            <w:pPr>
              <w:spacing w:after="0" w:before="0" w:line="264" w:lineRule="auto"/>
            </w:pPr>
            <w:r>
              <w:rPr>
                <w:rFonts w:ascii="Arial" w:hAnsi="Arial"/>
                <w:color w:val="111111"/>
                <w:sz w:val="20"/>
              </w:rPr>
              <w:t>[complete]</w:t>
            </w:r>
          </w:p>
        </w:tc>
      </w:tr>
      <w:tr>
        <w:trPr>
          <w:cantSplit/>
        </w:trPr>
        <w:tc>
          <w:tcPr>
            <w:tcW w:type="dxa" w:w="5341"/>
            <w:vAlign w:val="center"/>
            <w:shd w:fill="FFFFFF"/>
          </w:tcPr>
          <w:p>
            <w:pPr>
              <w:spacing w:after="0" w:before="0" w:line="264" w:lineRule="auto"/>
            </w:pPr>
            <w:r>
              <w:rPr>
                <w:rFonts w:ascii="Arial" w:hAnsi="Arial"/>
                <w:color w:val="111111"/>
                <w:sz w:val="20"/>
              </w:rPr>
              <w:t>Date of fact gathering / law assessed as of</w:t>
            </w:r>
          </w:p>
        </w:tc>
        <w:tc>
          <w:tcPr>
            <w:tcW w:type="dxa" w:w="8714"/>
            <w:vAlign w:val="center"/>
            <w:shd w:fill="FFFFFF"/>
          </w:tcPr>
          <w:p>
            <w:pPr>
              <w:spacing w:after="0" w:before="0" w:line="264" w:lineRule="auto"/>
            </w:pPr>
            <w:r>
              <w:rPr>
                <w:rFonts w:ascii="Arial" w:hAnsi="Arial"/>
                <w:color w:val="111111"/>
                <w:sz w:val="20"/>
              </w:rPr>
              <w:t>[complete]</w:t>
            </w:r>
          </w:p>
        </w:tc>
      </w:tr>
      <w:tr>
        <w:trPr>
          <w:cantSplit/>
        </w:trPr>
        <w:tc>
          <w:tcPr>
            <w:tcW w:type="dxa" w:w="5341"/>
            <w:vAlign w:val="center"/>
            <w:shd w:fill="F4F5F5"/>
          </w:tcPr>
          <w:p>
            <w:pPr>
              <w:spacing w:after="0" w:before="0" w:line="264" w:lineRule="auto"/>
            </w:pPr>
            <w:r>
              <w:rPr>
                <w:rFonts w:ascii="Arial" w:hAnsi="Arial"/>
                <w:color w:val="111111"/>
                <w:sz w:val="20"/>
              </w:rPr>
              <w:t>Reason: introduction, change, scheduled review or incident</w:t>
            </w:r>
          </w:p>
        </w:tc>
        <w:tc>
          <w:tcPr>
            <w:tcW w:type="dxa" w:w="8714"/>
            <w:vAlign w:val="center"/>
            <w:shd w:fill="F4F5F5"/>
          </w:tcPr>
          <w:p>
            <w:pPr>
              <w:spacing w:after="0" w:before="0" w:line="264" w:lineRule="auto"/>
            </w:pPr>
            <w:r>
              <w:rPr>
                <w:rFonts w:ascii="Arial" w:hAnsi="Arial"/>
                <w:color w:val="111111"/>
                <w:sz w:val="20"/>
              </w:rPr>
              <w:t>[complete]</w:t>
            </w:r>
          </w:p>
        </w:tc>
      </w:tr>
      <w:tr>
        <w:trPr>
          <w:cantSplit/>
        </w:trPr>
        <w:tc>
          <w:tcPr>
            <w:tcW w:type="dxa" w:w="5341"/>
            <w:vAlign w:val="center"/>
            <w:shd w:fill="FFFFFF"/>
          </w:tcPr>
          <w:p>
            <w:pPr>
              <w:spacing w:after="0" w:before="0" w:line="264" w:lineRule="auto"/>
            </w:pPr>
            <w:r>
              <w:rPr>
                <w:rFonts w:ascii="Arial" w:hAnsi="Arial"/>
                <w:color w:val="111111"/>
                <w:sz w:val="20"/>
              </w:rPr>
              <w:t>Responsible data exporter, legal entity</w:t>
            </w:r>
          </w:p>
        </w:tc>
        <w:tc>
          <w:tcPr>
            <w:tcW w:type="dxa" w:w="8714"/>
            <w:vAlign w:val="center"/>
            <w:shd w:fill="FFFFFF"/>
          </w:tcPr>
          <w:p>
            <w:pPr>
              <w:spacing w:after="0" w:before="0" w:line="264" w:lineRule="auto"/>
            </w:pPr>
            <w:r>
              <w:rPr>
                <w:rFonts w:ascii="Arial" w:hAnsi="Arial"/>
                <w:color w:val="111111"/>
                <w:sz w:val="20"/>
              </w:rPr>
              <w:t>[complete]</w:t>
            </w:r>
          </w:p>
        </w:tc>
      </w:tr>
      <w:tr>
        <w:trPr>
          <w:cantSplit/>
        </w:trPr>
        <w:tc>
          <w:tcPr>
            <w:tcW w:type="dxa" w:w="5341"/>
            <w:vAlign w:val="center"/>
            <w:shd w:fill="F4F5F5"/>
          </w:tcPr>
          <w:p>
            <w:pPr>
              <w:spacing w:after="0" w:before="0" w:line="264" w:lineRule="auto"/>
            </w:pPr>
            <w:r>
              <w:rPr>
                <w:rFonts w:ascii="Arial" w:hAnsi="Arial"/>
                <w:color w:val="111111"/>
                <w:sz w:val="20"/>
              </w:rPr>
              <w:t>Assessment coordinator, role and contact</w:t>
            </w:r>
          </w:p>
        </w:tc>
        <w:tc>
          <w:tcPr>
            <w:tcW w:type="dxa" w:w="8714"/>
            <w:vAlign w:val="center"/>
            <w:shd w:fill="F4F5F5"/>
          </w:tcPr>
          <w:p>
            <w:pPr>
              <w:spacing w:after="0" w:before="0" w:line="264" w:lineRule="auto"/>
            </w:pPr>
            <w:r>
              <w:rPr>
                <w:rFonts w:ascii="Arial" w:hAnsi="Arial"/>
                <w:color w:val="111111"/>
                <w:sz w:val="20"/>
              </w:rPr>
              <w:t>[complete]</w:t>
            </w:r>
          </w:p>
        </w:tc>
      </w:tr>
      <w:tr>
        <w:trPr>
          <w:cantSplit/>
        </w:trPr>
        <w:tc>
          <w:tcPr>
            <w:tcW w:type="dxa" w:w="5341"/>
            <w:vAlign w:val="center"/>
            <w:shd w:fill="FFFFFF"/>
          </w:tcPr>
          <w:p>
            <w:pPr>
              <w:spacing w:after="0" w:before="0" w:line="264" w:lineRule="auto"/>
            </w:pPr>
            <w:r>
              <w:rPr>
                <w:rFonts w:ascii="Arial" w:hAnsi="Arial"/>
                <w:color w:val="111111"/>
                <w:sz w:val="20"/>
              </w:rPr>
              <w:t>Specialist or legal assessment, role and contact</w:t>
            </w:r>
          </w:p>
        </w:tc>
        <w:tc>
          <w:tcPr>
            <w:tcW w:type="dxa" w:w="8714"/>
            <w:vAlign w:val="center"/>
            <w:shd w:fill="FFFFFF"/>
          </w:tcPr>
          <w:p>
            <w:pPr>
              <w:spacing w:after="0" w:before="0" w:line="264" w:lineRule="auto"/>
            </w:pPr>
            <w:r>
              <w:rPr>
                <w:rFonts w:ascii="Arial" w:hAnsi="Arial"/>
                <w:color w:val="111111"/>
                <w:sz w:val="20"/>
              </w:rPr>
              <w:t>[complete]</w:t>
            </w:r>
          </w:p>
        </w:tc>
      </w:tr>
      <w:tr>
        <w:trPr>
          <w:cantSplit/>
        </w:trPr>
        <w:tc>
          <w:tcPr>
            <w:tcW w:type="dxa" w:w="5341"/>
            <w:vAlign w:val="center"/>
            <w:shd w:fill="F4F5F5"/>
          </w:tcPr>
          <w:p>
            <w:pPr>
              <w:spacing w:after="0" w:before="0" w:line="264" w:lineRule="auto"/>
            </w:pPr>
            <w:r>
              <w:rPr>
                <w:rFonts w:ascii="Arial" w:hAnsi="Arial"/>
                <w:color w:val="111111"/>
                <w:sz w:val="20"/>
              </w:rPr>
              <w:t>Technical implementation and evidence, role and contact</w:t>
            </w:r>
          </w:p>
        </w:tc>
        <w:tc>
          <w:tcPr>
            <w:tcW w:type="dxa" w:w="8714"/>
            <w:vAlign w:val="center"/>
            <w:shd w:fill="F4F5F5"/>
          </w:tcPr>
          <w:p>
            <w:pPr>
              <w:spacing w:after="0" w:before="0" w:line="264" w:lineRule="auto"/>
            </w:pPr>
            <w:r>
              <w:rPr>
                <w:rFonts w:ascii="Arial" w:hAnsi="Arial"/>
                <w:color w:val="111111"/>
                <w:sz w:val="20"/>
              </w:rPr>
              <w:t>[complete]</w:t>
            </w:r>
          </w:p>
        </w:tc>
      </w:tr>
      <w:tr>
        <w:trPr>
          <w:cantSplit/>
        </w:trPr>
        <w:tc>
          <w:tcPr>
            <w:tcW w:type="dxa" w:w="5341"/>
            <w:vAlign w:val="center"/>
            <w:shd w:fill="FFFFFF"/>
          </w:tcPr>
          <w:p>
            <w:pPr>
              <w:spacing w:after="0" w:before="0" w:line="264" w:lineRule="auto"/>
            </w:pPr>
            <w:r>
              <w:rPr>
                <w:rFonts w:ascii="Arial" w:hAnsi="Arial"/>
                <w:color w:val="111111"/>
                <w:sz w:val="20"/>
              </w:rPr>
              <w:t>Participating importer and person providing information</w:t>
            </w:r>
          </w:p>
        </w:tc>
        <w:tc>
          <w:tcPr>
            <w:tcW w:type="dxa" w:w="8714"/>
            <w:vAlign w:val="center"/>
            <w:shd w:fill="FFFFFF"/>
          </w:tcPr>
          <w:p>
            <w:pPr>
              <w:spacing w:after="0" w:before="0" w:line="264" w:lineRule="auto"/>
            </w:pPr>
            <w:r>
              <w:rPr>
                <w:rFonts w:ascii="Arial" w:hAnsi="Arial"/>
                <w:color w:val="111111"/>
                <w:sz w:val="20"/>
              </w:rPr>
              <w:t>[complete]</w:t>
            </w:r>
          </w:p>
        </w:tc>
      </w:tr>
      <w:tr>
        <w:trPr>
          <w:cantSplit/>
        </w:trPr>
        <w:tc>
          <w:tcPr>
            <w:tcW w:type="dxa" w:w="5341"/>
            <w:vAlign w:val="center"/>
            <w:shd w:fill="F4F5F5"/>
          </w:tcPr>
          <w:p>
            <w:pPr>
              <w:spacing w:after="0" w:before="0" w:line="264" w:lineRule="auto"/>
            </w:pPr>
            <w:r>
              <w:rPr>
                <w:rFonts w:ascii="Arial" w:hAnsi="Arial"/>
                <w:color w:val="111111"/>
                <w:sz w:val="20"/>
              </w:rPr>
              <w:t>Entity or function authorised to make the final decision</w:t>
            </w:r>
          </w:p>
        </w:tc>
        <w:tc>
          <w:tcPr>
            <w:tcW w:type="dxa" w:w="8714"/>
            <w:vAlign w:val="center"/>
            <w:shd w:fill="F4F5F5"/>
          </w:tcPr>
          <w:p>
            <w:pPr>
              <w:spacing w:after="0" w:before="0" w:line="264" w:lineRule="auto"/>
            </w:pPr>
            <w:r>
              <w:rPr>
                <w:rFonts w:ascii="Arial" w:hAnsi="Arial"/>
                <w:color w:val="111111"/>
                <w:sz w:val="20"/>
              </w:rPr>
              <w:t>[complete]</w:t>
            </w:r>
          </w:p>
        </w:tc>
      </w:tr>
      <w:tr>
        <w:trPr>
          <w:cantSplit/>
        </w:trPr>
        <w:tc>
          <w:tcPr>
            <w:tcW w:type="dxa" w:w="5341"/>
            <w:vAlign w:val="center"/>
            <w:shd w:fill="FFFFFF"/>
          </w:tcPr>
          <w:p>
            <w:pPr>
              <w:spacing w:after="0" w:before="0" w:line="264" w:lineRule="auto"/>
            </w:pPr>
            <w:r>
              <w:rPr>
                <w:rFonts w:ascii="Arial" w:hAnsi="Arial"/>
                <w:color w:val="111111"/>
                <w:sz w:val="20"/>
              </w:rPr>
              <w:t>Related processing records, contracts, DPIA and permission models</w:t>
            </w:r>
          </w:p>
        </w:tc>
        <w:tc>
          <w:tcPr>
            <w:tcW w:type="dxa" w:w="8714"/>
            <w:vAlign w:val="center"/>
            <w:shd w:fill="FFFFFF"/>
          </w:tcPr>
          <w:p>
            <w:pPr>
              <w:spacing w:after="0" w:before="0" w:line="264" w:lineRule="auto"/>
            </w:pPr>
            <w:r>
              <w:rPr>
                <w:rFonts w:ascii="Arial" w:hAnsi="Arial"/>
                <w:color w:val="111111"/>
                <w:sz w:val="20"/>
              </w:rPr>
              <w:t>[identifier, version, location]</w:t>
            </w:r>
          </w:p>
        </w:tc>
      </w:tr>
      <w:tr>
        <w:trPr>
          <w:cantSplit/>
        </w:trPr>
        <w:tc>
          <w:tcPr>
            <w:tcW w:type="dxa" w:w="5341"/>
            <w:vAlign w:val="center"/>
            <w:shd w:fill="F4F5F5"/>
          </w:tcPr>
          <w:p>
            <w:pPr>
              <w:spacing w:after="0" w:before="0" w:line="264" w:lineRule="auto"/>
            </w:pPr>
            <w:r>
              <w:rPr>
                <w:rFonts w:ascii="Arial" w:hAnsi="Arial"/>
                <w:color w:val="111111"/>
                <w:sz w:val="20"/>
              </w:rPr>
              <w:t>Next intended review / reason for the interval</w:t>
            </w:r>
          </w:p>
        </w:tc>
        <w:tc>
          <w:tcPr>
            <w:tcW w:type="dxa" w:w="8714"/>
            <w:vAlign w:val="center"/>
            <w:shd w:fill="F4F5F5"/>
          </w:tcPr>
          <w:p>
            <w:pPr>
              <w:spacing w:after="0" w:before="0" w:line="264" w:lineRule="auto"/>
            </w:pPr>
            <w:r>
              <w:rPr>
                <w:rFonts w:ascii="Arial" w:hAnsi="Arial"/>
                <w:color w:val="111111"/>
                <w:sz w:val="20"/>
              </w:rPr>
              <w:t>[date and reasoning; event-driven review also applies]</w:t>
            </w:r>
          </w:p>
        </w:tc>
      </w:tr>
    </w:tbl>
    <w:p>
      <w:pPr>
        <w:spacing w:after="0" w:line="20" w:lineRule="exact"/>
      </w:pPr>
      <w:r>
        <w:rPr>
          <w:sz w:val="2"/>
        </w:rPr>
      </w:r>
    </w:p>
    <w:p>
      <w:pPr>
        <w:ind w:right="1800"/>
      </w:pPr>
      <w:r>
        <w:rPr>
          <w:rFonts w:ascii="Arial" w:hAnsi="Arial"/>
          <w:b/>
        </w:rPr>
        <w:t>Working status of this completed version:</w:t>
      </w:r>
      <w:r>
        <w:rPr>
          <w:rFonts w:ascii="Arial" w:hAnsi="Arial"/>
        </w:rPr>
        <w:t xml:space="preserve"> [to be determined: gathering facts / assessment underway / questions unresolved / decision documented]. This is not an approval status. Record the decision, scope and reasoning exclusively in section 7.</w:t>
      </w:r>
    </w:p>
    <w:p>
      <w:pPr>
        <w:ind w:right="1800"/>
      </w:pPr>
      <w:r>
        <w:rPr>
          <w:rFonts w:ascii="Arial" w:hAnsi="Arial"/>
          <w:b/>
        </w:rPr>
        <w:t>Scope and boundaries:</w:t>
      </w:r>
      <w:r>
        <w:rPr>
          <w:rFonts w:ascii="Arial" w:hAnsi="Arial"/>
        </w:rPr>
        <w:t xml:space="preserve"> [In a few sentences, describe the service and data flows being assessed. Identify excluded activities and explain the boundary.]</w:t>
      </w:r>
    </w:p>
    <w:p>
      <w:pPr>
        <w:pStyle w:val="Heading1"/>
      </w:pPr>
      <w:r>
        <w:rPr>
          <w:rFonts w:ascii="Arial" w:hAnsi="Arial"/>
          <w:color w:val="000000"/>
        </w:rPr>
        <w:t>1. Record the processing and data flows</w:t>
      </w:r>
    </w:p>
    <w:p>
      <w:pPr>
        <w:ind w:right="1800"/>
      </w:pPr>
      <w:r>
        <w:rPr>
          <w:rFonts w:ascii="Arial" w:hAnsi="Arial"/>
        </w:rPr>
        <w:t>Complete the following questions for each distinct data flow. A product name or cloud region does not identify the legal entities involved. Include administration, remote support, tickets, logs, test copies, backups, collaboration services and further recipients.</w:t>
      </w:r>
    </w:p>
    <w:p>
      <w:pPr>
        <w:pStyle w:val="Heading2"/>
      </w:pPr>
      <w:r>
        <w:rPr>
          <w:rFonts w:ascii="Arial" w:hAnsi="Arial"/>
          <w:color w:val="000000"/>
        </w:rPr>
        <w:t>Data flow [identifier]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Question</w:t>
            </w:r>
          </w:p>
        </w:tc>
        <w:tc>
          <w:tcPr>
            <w:tcW w:type="dxa" w:w="8714"/>
            <w:vAlign w:val="center"/>
            <w:shd w:fill="222222"/>
          </w:tcPr>
          <w:p>
            <w:pPr>
              <w:keepNext/>
              <w:spacing w:after="0" w:before="0" w:line="264" w:lineRule="auto"/>
            </w:pPr>
            <w:r>
              <w:rPr>
                <w:rFonts w:ascii="Arial" w:hAnsi="Arial"/>
                <w:b/>
                <w:color w:val="FFFFFF"/>
                <w:sz w:val="20"/>
              </w:rPr>
              <w:t>Description and evidence</w:t>
            </w:r>
          </w:p>
        </w:tc>
      </w:tr>
      <w:tr>
        <w:trPr>
          <w:cantSplit/>
        </w:trPr>
        <w:tc>
          <w:tcPr>
            <w:tcW w:type="dxa" w:w="5341"/>
            <w:vAlign w:val="center"/>
            <w:shd w:fill="FFFFFF"/>
          </w:tcPr>
          <w:p>
            <w:pPr>
              <w:spacing w:after="0" w:before="0" w:line="264" w:lineRule="auto"/>
            </w:pPr>
            <w:r>
              <w:rPr>
                <w:rFonts w:ascii="Arial" w:hAnsi="Arial"/>
                <w:color w:val="111111"/>
                <w:sz w:val="20"/>
              </w:rPr>
              <w:t>What triggers the flow, and why is it needed?</w:t>
            </w:r>
          </w:p>
        </w:tc>
        <w:tc>
          <w:tcPr>
            <w:tcW w:type="dxa" w:w="8714"/>
            <w:vAlign w:val="center"/>
            <w:shd w:fill="FFFFFF"/>
          </w:tcPr>
          <w:p>
            <w:pPr>
              <w:spacing w:after="0" w:before="0" w:line="264" w:lineRule="auto"/>
            </w:pPr>
            <w:r>
              <w:rPr>
                <w:rFonts w:ascii="Arial" w:hAnsi="Arial"/>
                <w:color w:val="111111"/>
                <w:sz w:val="20"/>
              </w:rPr>
              <w:t>[Purpose, business step and necessity]</w:t>
            </w:r>
          </w:p>
        </w:tc>
      </w:tr>
      <w:tr>
        <w:trPr>
          <w:cantSplit/>
        </w:trPr>
        <w:tc>
          <w:tcPr>
            <w:tcW w:type="dxa" w:w="5341"/>
            <w:vAlign w:val="center"/>
            <w:shd w:fill="F4F5F5"/>
          </w:tcPr>
          <w:p>
            <w:pPr>
              <w:spacing w:after="0" w:before="0" w:line="264" w:lineRule="auto"/>
            </w:pPr>
            <w:r>
              <w:rPr>
                <w:rFonts w:ascii="Arial" w:hAnsi="Arial"/>
                <w:color w:val="111111"/>
                <w:sz w:val="20"/>
              </w:rPr>
              <w:t>Which source sends which data to which destination?</w:t>
            </w:r>
          </w:p>
        </w:tc>
        <w:tc>
          <w:tcPr>
            <w:tcW w:type="dxa" w:w="8714"/>
            <w:vAlign w:val="center"/>
            <w:shd w:fill="F4F5F5"/>
          </w:tcPr>
          <w:p>
            <w:pPr>
              <w:spacing w:after="0" w:before="0" w:line="264" w:lineRule="auto"/>
            </w:pPr>
            <w:r>
              <w:rPr>
                <w:rFonts w:ascii="Arial" w:hAnsi="Arial"/>
                <w:color w:val="111111"/>
                <w:sz w:val="20"/>
              </w:rPr>
              <w:t>[Systems, legal entities and evidence identifiers]</w:t>
            </w:r>
          </w:p>
        </w:tc>
      </w:tr>
      <w:tr>
        <w:trPr>
          <w:cantSplit/>
        </w:trPr>
        <w:tc>
          <w:tcPr>
            <w:tcW w:type="dxa" w:w="5341"/>
            <w:vAlign w:val="center"/>
            <w:shd w:fill="FFFFFF"/>
          </w:tcPr>
          <w:p>
            <w:pPr>
              <w:spacing w:after="0" w:before="0" w:line="264" w:lineRule="auto"/>
            </w:pPr>
            <w:r>
              <w:rPr>
                <w:rFonts w:ascii="Arial" w:hAnsi="Arial"/>
                <w:color w:val="111111"/>
                <w:sz w:val="20"/>
              </w:rPr>
              <w:t>Whose data is involved?</w:t>
            </w:r>
          </w:p>
        </w:tc>
        <w:tc>
          <w:tcPr>
            <w:tcW w:type="dxa" w:w="8714"/>
            <w:vAlign w:val="center"/>
            <w:shd w:fill="FFFFFF"/>
          </w:tcPr>
          <w:p>
            <w:pPr>
              <w:spacing w:after="0" w:before="0" w:line="264" w:lineRule="auto"/>
            </w:pPr>
            <w:r>
              <w:rPr>
                <w:rFonts w:ascii="Arial" w:hAnsi="Arial"/>
                <w:color w:val="111111"/>
                <w:sz w:val="20"/>
              </w:rPr>
              <w:t>[Categories, such as customers or employees; do not insert unnecessary real personal data in the template]</w:t>
            </w:r>
          </w:p>
        </w:tc>
      </w:tr>
      <w:tr>
        <w:trPr>
          <w:cantSplit/>
        </w:trPr>
        <w:tc>
          <w:tcPr>
            <w:tcW w:type="dxa" w:w="5341"/>
            <w:vAlign w:val="center"/>
            <w:shd w:fill="F4F5F5"/>
          </w:tcPr>
          <w:p>
            <w:pPr>
              <w:spacing w:after="0" w:before="0" w:line="264" w:lineRule="auto"/>
            </w:pPr>
            <w:r>
              <w:rPr>
                <w:rFonts w:ascii="Arial" w:hAnsi="Arial"/>
                <w:color w:val="111111"/>
                <w:sz w:val="20"/>
              </w:rPr>
              <w:t>Which categories and identifiers reach the recipient?</w:t>
            </w:r>
          </w:p>
        </w:tc>
        <w:tc>
          <w:tcPr>
            <w:tcW w:type="dxa" w:w="8714"/>
            <w:vAlign w:val="center"/>
            <w:shd w:fill="F4F5F5"/>
          </w:tcPr>
          <w:p>
            <w:pPr>
              <w:spacing w:after="0" w:before="0" w:line="264" w:lineRule="auto"/>
            </w:pPr>
            <w:r>
              <w:rPr>
                <w:rFonts w:ascii="Arial" w:hAnsi="Arial"/>
                <w:color w:val="111111"/>
                <w:sz w:val="20"/>
              </w:rPr>
              <w:t>[Fields; address Article 9 special categories / Article 10 data separately where relevant]</w:t>
            </w:r>
          </w:p>
        </w:tc>
      </w:tr>
      <w:tr>
        <w:trPr>
          <w:cantSplit/>
        </w:trPr>
        <w:tc>
          <w:tcPr>
            <w:tcW w:type="dxa" w:w="5341"/>
            <w:vAlign w:val="center"/>
            <w:shd w:fill="FFFFFF"/>
          </w:tcPr>
          <w:p>
            <w:pPr>
              <w:spacing w:after="0" w:before="0" w:line="264" w:lineRule="auto"/>
            </w:pPr>
            <w:r>
              <w:rPr>
                <w:rFonts w:ascii="Arial" w:hAnsi="Arial"/>
                <w:color w:val="111111"/>
                <w:sz w:val="20"/>
              </w:rPr>
              <w:t>What volume, frequency and period are involved?</w:t>
            </w:r>
          </w:p>
        </w:tc>
        <w:tc>
          <w:tcPr>
            <w:tcW w:type="dxa" w:w="8714"/>
            <w:vAlign w:val="center"/>
            <w:shd w:fill="FFFFFF"/>
          </w:tcPr>
          <w:p>
            <w:pPr>
              <w:spacing w:after="0" w:before="0" w:line="264" w:lineRule="auto"/>
            </w:pPr>
            <w:r>
              <w:rPr>
                <w:rFonts w:ascii="Arial" w:hAnsi="Arial"/>
                <w:color w:val="111111"/>
                <w:sz w:val="20"/>
              </w:rPr>
              <w:t>[Volume, continuing/one-off, intended duration]</w:t>
            </w:r>
          </w:p>
        </w:tc>
      </w:tr>
      <w:tr>
        <w:trPr>
          <w:cantSplit/>
        </w:trPr>
        <w:tc>
          <w:tcPr>
            <w:tcW w:type="dxa" w:w="5341"/>
            <w:vAlign w:val="center"/>
            <w:shd w:fill="F4F5F5"/>
          </w:tcPr>
          <w:p>
            <w:pPr>
              <w:spacing w:after="0" w:before="0" w:line="264" w:lineRule="auto"/>
            </w:pPr>
            <w:r>
              <w:rPr>
                <w:rFonts w:ascii="Arial" w:hAnsi="Arial"/>
                <w:color w:val="111111"/>
                <w:sz w:val="20"/>
              </w:rPr>
              <w:t>Where is the data stored, accessed and processed further?</w:t>
            </w:r>
          </w:p>
        </w:tc>
        <w:tc>
          <w:tcPr>
            <w:tcW w:type="dxa" w:w="8714"/>
            <w:vAlign w:val="center"/>
            <w:shd w:fill="F4F5F5"/>
          </w:tcPr>
          <w:p>
            <w:pPr>
              <w:spacing w:after="0" w:before="0" w:line="264" w:lineRule="auto"/>
            </w:pPr>
            <w:r>
              <w:rPr>
                <w:rFonts w:ascii="Arial" w:hAnsi="Arial"/>
                <w:color w:val="111111"/>
                <w:sz w:val="20"/>
              </w:rPr>
              <w:t>[Country for storage and actual access; include support and backups]</w:t>
            </w:r>
          </w:p>
        </w:tc>
      </w:tr>
      <w:tr>
        <w:trPr>
          <w:cantSplit/>
        </w:trPr>
        <w:tc>
          <w:tcPr>
            <w:tcW w:type="dxa" w:w="5341"/>
            <w:vAlign w:val="center"/>
            <w:shd w:fill="FFFFFF"/>
          </w:tcPr>
          <w:p>
            <w:pPr>
              <w:spacing w:after="0" w:before="0" w:line="264" w:lineRule="auto"/>
            </w:pPr>
            <w:r>
              <w:rPr>
                <w:rFonts w:ascii="Arial" w:hAnsi="Arial"/>
                <w:color w:val="111111"/>
                <w:sz w:val="20"/>
              </w:rPr>
              <w:t>What permissions does the recipient have?</w:t>
            </w:r>
          </w:p>
        </w:tc>
        <w:tc>
          <w:tcPr>
            <w:tcW w:type="dxa" w:w="8714"/>
            <w:vAlign w:val="center"/>
            <w:shd w:fill="FFFFFF"/>
          </w:tcPr>
          <w:p>
            <w:pPr>
              <w:spacing w:after="0" w:before="0" w:line="264" w:lineRule="auto"/>
            </w:pPr>
            <w:r>
              <w:rPr>
                <w:rFonts w:ascii="Arial" w:hAnsi="Arial"/>
                <w:color w:val="111111"/>
                <w:sz w:val="20"/>
              </w:rPr>
              <w:t>[Read, change, export, administer, manage keys; evidence the actual configuration]</w:t>
            </w:r>
          </w:p>
        </w:tc>
      </w:tr>
      <w:tr>
        <w:trPr>
          <w:cantSplit/>
        </w:trPr>
        <w:tc>
          <w:tcPr>
            <w:tcW w:type="dxa" w:w="5341"/>
            <w:vAlign w:val="center"/>
            <w:shd w:fill="F4F5F5"/>
          </w:tcPr>
          <w:p>
            <w:pPr>
              <w:spacing w:after="0" w:before="0" w:line="264" w:lineRule="auto"/>
            </w:pPr>
            <w:r>
              <w:rPr>
                <w:rFonts w:ascii="Arial" w:hAnsi="Arial"/>
                <w:color w:val="111111"/>
                <w:sz w:val="20"/>
              </w:rPr>
              <w:t>Which further recipients or sub-processors are involved?</w:t>
            </w:r>
          </w:p>
        </w:tc>
        <w:tc>
          <w:tcPr>
            <w:tcW w:type="dxa" w:w="8714"/>
            <w:vAlign w:val="center"/>
            <w:shd w:fill="F4F5F5"/>
          </w:tcPr>
          <w:p>
            <w:pPr>
              <w:spacing w:after="0" w:before="0" w:line="264" w:lineRule="auto"/>
            </w:pPr>
            <w:r>
              <w:rPr>
                <w:rFonts w:ascii="Arial" w:hAnsi="Arial"/>
                <w:color w:val="111111"/>
                <w:sz w:val="20"/>
              </w:rPr>
              <w:t>[Legal entities, countries, purposes and links to further flow identifiers]</w:t>
            </w:r>
          </w:p>
        </w:tc>
      </w:tr>
      <w:tr>
        <w:trPr>
          <w:cantSplit/>
        </w:trPr>
        <w:tc>
          <w:tcPr>
            <w:tcW w:type="dxa" w:w="5341"/>
            <w:vAlign w:val="center"/>
            <w:shd w:fill="FFFFFF"/>
          </w:tcPr>
          <w:p>
            <w:pPr>
              <w:spacing w:after="0" w:before="0" w:line="264" w:lineRule="auto"/>
            </w:pPr>
            <w:r>
              <w:rPr>
                <w:rFonts w:ascii="Arial" w:hAnsi="Arial"/>
                <w:color w:val="111111"/>
                <w:sz w:val="20"/>
              </w:rPr>
              <w:t>How long is data retained, and how is it returned and deleted?</w:t>
            </w:r>
          </w:p>
        </w:tc>
        <w:tc>
          <w:tcPr>
            <w:tcW w:type="dxa" w:w="8714"/>
            <w:vAlign w:val="center"/>
            <w:shd w:fill="FFFFFF"/>
          </w:tcPr>
          <w:p>
            <w:pPr>
              <w:spacing w:after="0" w:before="0" w:line="264" w:lineRule="auto"/>
            </w:pPr>
            <w:r>
              <w:rPr>
                <w:rFonts w:ascii="Arial" w:hAnsi="Arial"/>
                <w:color w:val="111111"/>
                <w:sz w:val="20"/>
              </w:rPr>
              <w:t>[System-specific periods, implementation and evidence]</w:t>
            </w:r>
          </w:p>
        </w:tc>
      </w:tr>
      <w:tr>
        <w:trPr>
          <w:cantSplit/>
        </w:trPr>
        <w:tc>
          <w:tcPr>
            <w:tcW w:type="dxa" w:w="5341"/>
            <w:vAlign w:val="center"/>
            <w:shd w:fill="F4F5F5"/>
          </w:tcPr>
          <w:p>
            <w:pPr>
              <w:spacing w:after="0" w:before="0" w:line="264" w:lineRule="auto"/>
            </w:pPr>
            <w:r>
              <w:rPr>
                <w:rFonts w:ascii="Arial" w:hAnsi="Arial"/>
                <w:color w:val="111111"/>
                <w:sz w:val="20"/>
              </w:rPr>
              <w:t>What legal basis supports the underlying processing?</w:t>
            </w:r>
          </w:p>
        </w:tc>
        <w:tc>
          <w:tcPr>
            <w:tcW w:type="dxa" w:w="8714"/>
            <w:vAlign w:val="center"/>
            <w:shd w:fill="F4F5F5"/>
          </w:tcPr>
          <w:p>
            <w:pPr>
              <w:spacing w:after="0" w:before="0" w:line="264" w:lineRule="auto"/>
            </w:pPr>
            <w:r>
              <w:rPr>
                <w:rFonts w:ascii="Arial" w:hAnsi="Arial"/>
                <w:color w:val="111111"/>
                <w:sz w:val="20"/>
              </w:rPr>
              <w:t>[Article 6 and, where relevant, Articles 9/10; contract/instructions; reference to the existing assessment]</w:t>
            </w:r>
          </w:p>
        </w:tc>
      </w:tr>
      <w:tr>
        <w:trPr>
          <w:cantSplit/>
        </w:trPr>
        <w:tc>
          <w:tcPr>
            <w:tcW w:type="dxa" w:w="5341"/>
            <w:vAlign w:val="center"/>
            <w:shd w:fill="FFFFFF"/>
          </w:tcPr>
          <w:p>
            <w:pPr>
              <w:spacing w:after="0" w:before="0" w:line="264" w:lineRule="auto"/>
            </w:pPr>
            <w:r>
              <w:rPr>
                <w:rFonts w:ascii="Arial" w:hAnsi="Arial"/>
                <w:color w:val="111111"/>
                <w:sz w:val="20"/>
              </w:rPr>
              <w:t>Which transparency, data-subject-rights and security requirements apply?</w:t>
            </w:r>
          </w:p>
        </w:tc>
        <w:tc>
          <w:tcPr>
            <w:tcW w:type="dxa" w:w="8714"/>
            <w:vAlign w:val="center"/>
            <w:shd w:fill="FFFFFF"/>
          </w:tcPr>
          <w:p>
            <w:pPr>
              <w:spacing w:after="0" w:before="0" w:line="264" w:lineRule="auto"/>
            </w:pPr>
            <w:r>
              <w:rPr>
                <w:rFonts w:ascii="Arial" w:hAnsi="Arial"/>
                <w:color w:val="111111"/>
                <w:sz w:val="20"/>
              </w:rPr>
              <w:t>[References and unresolved points; a TIA does not replace these assessments]</w:t>
            </w:r>
          </w:p>
        </w:tc>
      </w:tr>
    </w:tbl>
    <w:p>
      <w:pPr>
        <w:spacing w:after="0" w:line="20" w:lineRule="exact"/>
      </w:pPr>
      <w:r>
        <w:rPr>
          <w:sz w:val="2"/>
        </w:rPr>
      </w:r>
    </w:p>
    <w:p>
      <w:pPr>
        <w:ind w:right="1800"/>
      </w:pPr>
      <w:r>
        <w:rPr>
          <w:rFonts w:ascii="Arial" w:hAnsi="Arial"/>
          <w:b/>
        </w:rPr>
        <w:t>Classification of the data used:</w:t>
      </w:r>
      <w:r>
        <w:rPr>
          <w:rFonts w:ascii="Arial" w:hAnsi="Arial"/>
        </w:rPr>
        <w:t xml:space="preserve"> [personal / pseudonymised / anonymised / synthetic; explain and identify evidence]. Pseudonymised data generally remains personal data. An assertion of anonymity requires a substantiated assessment of non-identifiability; removing names alone is not sufficient evidence.</w:t>
      </w:r>
    </w:p>
    <w:p>
      <w:pPr>
        <w:ind w:right="1800"/>
      </w:pPr>
      <w:r>
        <w:rPr>
          <w:rFonts w:ascii="Arial" w:hAnsi="Arial"/>
          <w:b/>
        </w:rPr>
        <w:t>Data-flow overview:</w:t>
      </w:r>
      <w:r>
        <w:rPr>
          <w:rFonts w:ascii="Arial" w:hAnsi="Arial"/>
        </w:rPr>
        <w:t xml:space="preserve"> [Connect the flow identifiers in their actual order. Show which decision is intended to cover which onward transfer.]</w:t>
      </w:r>
    </w:p>
    <w:p>
      <w:pPr>
        <w:ind w:right="1800"/>
      </w:pPr>
      <w:r>
        <w:rPr>
          <w:rFonts w:ascii="Arial" w:hAnsi="Arial"/>
          <w:b/>
        </w:rPr>
        <w:t>Unknown or conflicting information:</w:t>
      </w:r>
      <w:r>
        <w:rPr>
          <w:rFonts w:ascii="Arial" w:hAnsi="Arial"/>
        </w:rPr>
        <w:t xml:space="preserve"> [Question, responsible person, evidence requested, due date and consequence for the assessment].</w:t>
      </w:r>
    </w:p>
    <w:p>
      <w:pPr>
        <w:pStyle w:val="Heading1"/>
      </w:pPr>
      <w:r>
        <w:rPr>
          <w:rFonts w:ascii="Arial" w:hAnsi="Arial"/>
          <w:color w:val="000000"/>
        </w:rPr>
        <w:t>2. Assess the parties, roles and Article 3 position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092"/>
        <w:gridCol w:w="3795"/>
        <w:gridCol w:w="2951"/>
        <w:gridCol w:w="2108"/>
        <w:gridCol w:w="2108"/>
      </w:tblGrid>
      <w:tr>
        <w:trPr>
          <w:cantSplit/>
          <w:tblHeader w:val="true"/>
        </w:trPr>
        <w:tc>
          <w:tcPr>
            <w:tcW w:type="dxa" w:w="3092"/>
            <w:vAlign w:val="center"/>
            <w:shd w:fill="222222"/>
          </w:tcPr>
          <w:p>
            <w:pPr>
              <w:keepNext/>
              <w:spacing w:after="0" w:before="0" w:line="264" w:lineRule="auto"/>
            </w:pPr>
            <w:r>
              <w:rPr>
                <w:rFonts w:ascii="Arial" w:hAnsi="Arial"/>
                <w:b/>
                <w:color w:val="FFFFFF"/>
                <w:sz w:val="20"/>
              </w:rPr>
              <w:t>Legal entity / identifier</w:t>
            </w:r>
          </w:p>
        </w:tc>
        <w:tc>
          <w:tcPr>
            <w:tcW w:type="dxa" w:w="3795"/>
            <w:vAlign w:val="center"/>
            <w:shd w:fill="222222"/>
          </w:tcPr>
          <w:p>
            <w:pPr>
              <w:keepNext/>
              <w:spacing w:after="0" w:before="0" w:line="264" w:lineRule="auto"/>
            </w:pPr>
            <w:r>
              <w:rPr>
                <w:rFonts w:ascii="Arial" w:hAnsi="Arial"/>
                <w:b/>
                <w:color w:val="FFFFFF"/>
                <w:sz w:val="20"/>
              </w:rPr>
              <w:t>Role in this flow</w:t>
            </w:r>
          </w:p>
        </w:tc>
        <w:tc>
          <w:tcPr>
            <w:tcW w:type="dxa" w:w="2951"/>
            <w:vAlign w:val="center"/>
            <w:shd w:fill="222222"/>
          </w:tcPr>
          <w:p>
            <w:pPr>
              <w:keepNext/>
              <w:spacing w:after="0" w:before="0" w:line="264" w:lineRule="auto"/>
            </w:pPr>
            <w:r>
              <w:rPr>
                <w:rFonts w:ascii="Arial" w:hAnsi="Arial"/>
                <w:b/>
                <w:color w:val="FFFFFF"/>
                <w:sz w:val="20"/>
              </w:rPr>
              <w:t>Establishment and relevant branch</w:t>
            </w:r>
          </w:p>
        </w:tc>
        <w:tc>
          <w:tcPr>
            <w:tcW w:type="dxa" w:w="2108"/>
            <w:vAlign w:val="center"/>
            <w:shd w:fill="222222"/>
          </w:tcPr>
          <w:p>
            <w:pPr>
              <w:keepNext/>
              <w:spacing w:after="0" w:before="0" w:line="264" w:lineRule="auto"/>
            </w:pPr>
            <w:r>
              <w:rPr>
                <w:rFonts w:ascii="Arial" w:hAnsi="Arial"/>
                <w:b/>
                <w:color w:val="FFFFFF"/>
                <w:sz w:val="20"/>
              </w:rPr>
              <w:t>Actual access countries</w:t>
            </w:r>
          </w:p>
        </w:tc>
        <w:tc>
          <w:tcPr>
            <w:tcW w:type="dxa" w:w="2108"/>
            <w:vAlign w:val="center"/>
            <w:shd w:fill="222222"/>
          </w:tcPr>
          <w:p>
            <w:pPr>
              <w:keepNext/>
              <w:spacing w:after="0" w:before="0" w:line="264" w:lineRule="auto"/>
            </w:pPr>
            <w:r>
              <w:rPr>
                <w:rFonts w:ascii="Arial" w:hAnsi="Arial"/>
                <w:b/>
                <w:color w:val="FFFFFF"/>
                <w:sz w:val="20"/>
              </w:rPr>
              <w:t>Contract / permission evidence</w:t>
            </w:r>
          </w:p>
        </w:tc>
      </w:tr>
      <w:tr>
        <w:trPr>
          <w:cantSplit/>
        </w:trPr>
        <w:tc>
          <w:tcPr>
            <w:tcW w:type="dxa" w:w="3092"/>
            <w:vAlign w:val="center"/>
            <w:shd w:fill="FFFFFF"/>
          </w:tcPr>
          <w:p>
            <w:pPr>
              <w:spacing w:after="0" w:before="0" w:line="264" w:lineRule="auto"/>
              <w:jc w:val="center"/>
            </w:pPr>
            <w:r>
              <w:rPr>
                <w:rFonts w:ascii="Arial" w:hAnsi="Arial"/>
                <w:color w:val="111111"/>
                <w:sz w:val="20"/>
              </w:rPr>
              <w:t>[complete]</w:t>
            </w:r>
          </w:p>
        </w:tc>
        <w:tc>
          <w:tcPr>
            <w:tcW w:type="dxa" w:w="3795"/>
            <w:vAlign w:val="center"/>
            <w:shd w:fill="FFFFFF"/>
          </w:tcPr>
          <w:p>
            <w:pPr>
              <w:spacing w:after="0" w:before="0" w:line="264" w:lineRule="auto"/>
            </w:pPr>
            <w:r>
              <w:rPr>
                <w:rFonts w:ascii="Arial" w:hAnsi="Arial"/>
                <w:color w:val="111111"/>
                <w:sz w:val="20"/>
              </w:rPr>
              <w:t>[Controller / joint controller / processor / sub-processor; explain]</w:t>
            </w:r>
          </w:p>
        </w:tc>
        <w:tc>
          <w:tcPr>
            <w:tcW w:type="dxa" w:w="2951"/>
            <w:vAlign w:val="center"/>
            <w:shd w:fill="FFFFFF"/>
          </w:tcPr>
          <w:p>
            <w:pPr>
              <w:spacing w:after="0" w:before="0" w:line="264" w:lineRule="auto"/>
              <w:jc w:val="center"/>
            </w:pPr>
            <w:r>
              <w:rPr>
                <w:rFonts w:ascii="Arial" w:hAnsi="Arial"/>
                <w:color w:val="111111"/>
                <w:sz w:val="20"/>
              </w:rPr>
              <w:t>[complete]</w:t>
            </w:r>
          </w:p>
        </w:tc>
        <w:tc>
          <w:tcPr>
            <w:tcW w:type="dxa" w:w="2108"/>
            <w:vAlign w:val="center"/>
            <w:shd w:fill="FFFFFF"/>
          </w:tcPr>
          <w:p>
            <w:pPr>
              <w:spacing w:after="0" w:before="0" w:line="264" w:lineRule="auto"/>
              <w:jc w:val="center"/>
            </w:pPr>
            <w:r>
              <w:rPr>
                <w:rFonts w:ascii="Arial" w:hAnsi="Arial"/>
                <w:color w:val="111111"/>
                <w:sz w:val="20"/>
              </w:rPr>
              <w:t>[complete]</w:t>
            </w:r>
          </w:p>
        </w:tc>
        <w:tc>
          <w:tcPr>
            <w:tcW w:type="dxa" w:w="2108"/>
            <w:vAlign w:val="center"/>
            <w:shd w:fill="FFFFFF"/>
          </w:tcPr>
          <w:p>
            <w:pPr>
              <w:spacing w:after="0" w:before="0" w:line="264" w:lineRule="auto"/>
              <w:jc w:val="center"/>
            </w:pPr>
            <w:r>
              <w:rPr>
                <w:rFonts w:ascii="Arial" w:hAnsi="Arial"/>
                <w:color w:val="111111"/>
                <w:sz w:val="20"/>
              </w:rPr>
              <w:t>[complete]</w:t>
            </w:r>
          </w:p>
        </w:tc>
      </w:tr>
    </w:tbl>
    <w:p>
      <w:pPr>
        <w:spacing w:after="0" w:line="20" w:lineRule="exact"/>
      </w:pPr>
      <w:r>
        <w:rPr>
          <w:sz w:val="2"/>
        </w:rPr>
      </w:r>
    </w:p>
    <w:p>
      <w:pPr>
        <w:ind w:right="1800"/>
      </w:pPr>
      <w:r>
        <w:rPr>
          <w:rFonts w:ascii="Arial" w:hAnsi="Arial"/>
        </w:rPr>
        <w:t>Assess the three cumulative transfer criteria in EDPB Guidelines 05/2021: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654"/>
        <w:gridCol w:w="6465"/>
        <w:gridCol w:w="3935"/>
      </w:tblGrid>
      <w:tr>
        <w:trPr>
          <w:cantSplit/>
          <w:tblHeader w:val="true"/>
        </w:trPr>
        <w:tc>
          <w:tcPr>
            <w:tcW w:type="dxa" w:w="3654"/>
            <w:vAlign w:val="center"/>
            <w:shd w:fill="222222"/>
          </w:tcPr>
          <w:p>
            <w:pPr>
              <w:keepNext/>
              <w:spacing w:after="0" w:before="0" w:line="264" w:lineRule="auto"/>
            </w:pPr>
            <w:r>
              <w:rPr>
                <w:rFonts w:ascii="Arial" w:hAnsi="Arial"/>
                <w:b/>
                <w:color w:val="FFFFFF"/>
                <w:sz w:val="20"/>
              </w:rPr>
              <w:t>Criterion</w:t>
            </w:r>
          </w:p>
        </w:tc>
        <w:tc>
          <w:tcPr>
            <w:tcW w:type="dxa" w:w="6465"/>
            <w:vAlign w:val="center"/>
            <w:shd w:fill="222222"/>
          </w:tcPr>
          <w:p>
            <w:pPr>
              <w:keepNext/>
              <w:spacing w:after="0" w:before="0" w:line="264" w:lineRule="auto"/>
            </w:pPr>
            <w:r>
              <w:rPr>
                <w:rFonts w:ascii="Arial" w:hAnsi="Arial"/>
                <w:b/>
                <w:color w:val="FFFFFF"/>
                <w:sz w:val="20"/>
              </w:rPr>
              <w:t>Finding: yes / no / unresolved</w:t>
            </w:r>
          </w:p>
        </w:tc>
        <w:tc>
          <w:tcPr>
            <w:tcW w:type="dxa" w:w="3935"/>
            <w:vAlign w:val="center"/>
            <w:shd w:fill="222222"/>
          </w:tcPr>
          <w:p>
            <w:pPr>
              <w:keepNext/>
              <w:spacing w:after="0" w:before="0" w:line="264" w:lineRule="auto"/>
            </w:pPr>
            <w:r>
              <w:rPr>
                <w:rFonts w:ascii="Arial" w:hAnsi="Arial"/>
                <w:b/>
                <w:color w:val="FFFFFF"/>
                <w:sz w:val="20"/>
              </w:rPr>
              <w:t>Reasoning and evidence</w:t>
            </w:r>
          </w:p>
        </w:tc>
      </w:tr>
      <w:tr>
        <w:trPr>
          <w:cantSplit/>
        </w:trPr>
        <w:tc>
          <w:tcPr>
            <w:tcW w:type="dxa" w:w="3654"/>
            <w:vAlign w:val="center"/>
            <w:shd w:fill="FFFFFF"/>
          </w:tcPr>
          <w:p>
            <w:pPr>
              <w:spacing w:after="0" w:before="0" w:line="264" w:lineRule="auto"/>
            </w:pPr>
            <w:r>
              <w:rPr>
                <w:rFonts w:ascii="Arial" w:hAnsi="Arial"/>
                <w:color w:val="111111"/>
                <w:sz w:val="20"/>
              </w:rPr>
              <w:t>The exporter is subject to the GDPR for this processing.</w:t>
            </w:r>
          </w:p>
        </w:tc>
        <w:tc>
          <w:tcPr>
            <w:tcW w:type="dxa" w:w="6465"/>
            <w:vAlign w:val="center"/>
            <w:shd w:fill="FFFFFF"/>
          </w:tcPr>
          <w:p>
            <w:pPr>
              <w:spacing w:after="0" w:before="0" w:line="264" w:lineRule="auto"/>
            </w:pPr>
            <w:r>
              <w:rPr>
                <w:rFonts w:ascii="Arial" w:hAnsi="Arial"/>
                <w:color w:val="111111"/>
                <w:sz w:val="20"/>
              </w:rPr>
              <w:t>[complete]</w:t>
            </w:r>
          </w:p>
        </w:tc>
        <w:tc>
          <w:tcPr>
            <w:tcW w:type="dxa" w:w="3935"/>
            <w:vAlign w:val="center"/>
            <w:shd w:fill="FFFFFF"/>
          </w:tcPr>
          <w:p>
            <w:pPr>
              <w:spacing w:after="0" w:before="0" w:line="264" w:lineRule="auto"/>
            </w:pPr>
            <w:r>
              <w:rPr>
                <w:rFonts w:ascii="Arial" w:hAnsi="Arial"/>
                <w:color w:val="111111"/>
                <w:sz w:val="20"/>
              </w:rPr>
              <w:t>[Article 3(1)/(2)/(3), relevant establishment or other connecting factor]</w:t>
            </w:r>
          </w:p>
        </w:tc>
      </w:tr>
      <w:tr>
        <w:trPr>
          <w:cantSplit/>
        </w:trPr>
        <w:tc>
          <w:tcPr>
            <w:tcW w:type="dxa" w:w="3654"/>
            <w:vAlign w:val="center"/>
            <w:shd w:fill="F4F5F5"/>
          </w:tcPr>
          <w:p>
            <w:pPr>
              <w:spacing w:after="0" w:before="0" w:line="264" w:lineRule="auto"/>
            </w:pPr>
            <w:r>
              <w:rPr>
                <w:rFonts w:ascii="Arial" w:hAnsi="Arial"/>
                <w:color w:val="111111"/>
                <w:sz w:val="20"/>
              </w:rPr>
              <w:t>The exporter makes personal data available to another entity.</w:t>
            </w:r>
          </w:p>
        </w:tc>
        <w:tc>
          <w:tcPr>
            <w:tcW w:type="dxa" w:w="6465"/>
            <w:vAlign w:val="center"/>
            <w:shd w:fill="F4F5F5"/>
          </w:tcPr>
          <w:p>
            <w:pPr>
              <w:spacing w:after="0" w:before="0" w:line="264" w:lineRule="auto"/>
            </w:pPr>
            <w:r>
              <w:rPr>
                <w:rFonts w:ascii="Arial" w:hAnsi="Arial"/>
                <w:color w:val="111111"/>
                <w:sz w:val="20"/>
              </w:rPr>
              <w:t>[complete]</w:t>
            </w:r>
          </w:p>
        </w:tc>
        <w:tc>
          <w:tcPr>
            <w:tcW w:type="dxa" w:w="3935"/>
            <w:vAlign w:val="center"/>
            <w:shd w:fill="F4F5F5"/>
          </w:tcPr>
          <w:p>
            <w:pPr>
              <w:spacing w:after="0" w:before="0" w:line="264" w:lineRule="auto"/>
            </w:pPr>
            <w:r>
              <w:rPr>
                <w:rFonts w:ascii="Arial" w:hAnsi="Arial"/>
                <w:color w:val="111111"/>
                <w:sz w:val="20"/>
              </w:rPr>
              <w:t>[Separate legal entity, role and access actually provided]</w:t>
            </w:r>
          </w:p>
        </w:tc>
      </w:tr>
      <w:tr>
        <w:trPr>
          <w:cantSplit/>
        </w:trPr>
        <w:tc>
          <w:tcPr>
            <w:tcW w:type="dxa" w:w="3654"/>
            <w:vAlign w:val="center"/>
            <w:shd w:fill="FFFFFF"/>
          </w:tcPr>
          <w:p>
            <w:pPr>
              <w:spacing w:after="0" w:before="0" w:line="264" w:lineRule="auto"/>
            </w:pPr>
            <w:r>
              <w:rPr>
                <w:rFonts w:ascii="Arial" w:hAnsi="Arial"/>
                <w:color w:val="111111"/>
                <w:sz w:val="20"/>
              </w:rPr>
              <w:t>The importer is outside the EEA or is an international organisation.</w:t>
            </w:r>
          </w:p>
        </w:tc>
        <w:tc>
          <w:tcPr>
            <w:tcW w:type="dxa" w:w="6465"/>
            <w:vAlign w:val="center"/>
            <w:shd w:fill="FFFFFF"/>
          </w:tcPr>
          <w:p>
            <w:pPr>
              <w:spacing w:after="0" w:before="0" w:line="264" w:lineRule="auto"/>
            </w:pPr>
            <w:r>
              <w:rPr>
                <w:rFonts w:ascii="Arial" w:hAnsi="Arial"/>
                <w:color w:val="111111"/>
                <w:sz w:val="20"/>
              </w:rPr>
              <w:t>[complete]</w:t>
            </w:r>
          </w:p>
        </w:tc>
        <w:tc>
          <w:tcPr>
            <w:tcW w:type="dxa" w:w="3935"/>
            <w:vAlign w:val="center"/>
            <w:shd w:fill="FFFFFF"/>
          </w:tcPr>
          <w:p>
            <w:pPr>
              <w:spacing w:after="0" w:before="0" w:line="264" w:lineRule="auto"/>
            </w:pPr>
            <w:r>
              <w:rPr>
                <w:rFonts w:ascii="Arial" w:hAnsi="Arial"/>
                <w:color w:val="111111"/>
                <w:sz w:val="20"/>
              </w:rPr>
              <w:t>[Entity/country; not just server region]</w:t>
            </w:r>
          </w:p>
        </w:tc>
      </w:tr>
    </w:tbl>
    <w:p>
      <w:pPr>
        <w:spacing w:after="0" w:line="20" w:lineRule="exact"/>
      </w:pPr>
      <w:r>
        <w:rPr>
          <w:sz w:val="2"/>
        </w:rPr>
      </w:r>
    </w:p>
    <w:p>
      <w:pPr>
        <w:ind w:right="1800"/>
      </w:pPr>
      <w:r>
        <w:rPr>
          <w:rFonts w:ascii="Arial" w:hAnsi="Arial"/>
          <w:b/>
        </w:rPr>
        <w:t>Reasoned conclusion on the existence of a transfer:</w:t>
      </w:r>
      <w:r>
        <w:rPr>
          <w:rFonts w:ascii="Arial" w:hAnsi="Arial"/>
        </w:rPr>
        <w:t xml:space="preserve"> [complete]. An employee of the same legal organisation on a business trip differs from a separate supplier or another group company. Even where Chapter V does not apply to the specific circumstances, processing risks and Article 32 GDPR still require assessment.</w:t>
      </w:r>
    </w:p>
    <w:p>
      <w:pPr>
        <w:ind w:right="1800"/>
      </w:pPr>
      <w:r>
        <w:rPr>
          <w:rFonts w:ascii="Arial" w:hAnsi="Arial"/>
          <w:b/>
        </w:rPr>
        <w:t>Is the importer directly subject to the GDPR under Article 3 for this particular processing?</w:t>
      </w:r>
      <w:r>
        <w:rPr>
          <w:rFonts w:ascii="Arial" w:hAnsi="Arial"/>
        </w:rPr>
        <w:t xml:space="preserve"> [yes / no / unresolved; specific reasoning, source and specialist assessment].</w:t>
      </w:r>
    </w:p>
    <w:p>
      <w:pPr>
        <w:ind w:right="1800"/>
      </w:pPr>
      <w:r>
        <w:rPr>
          <w:rFonts w:ascii="Arial" w:hAnsi="Arial"/>
        </w:rPr>
        <w:t>This is separate from whether a transfer exists. Direct GDPR application to the importer does not automatically remove a third-country transfer. At the same time, Article 1 of the 2021/914 transfer SCCs scopes them to importers whose relevant processing is not subject to the GDPR. A different position requires a separate assessment of the applicable instrument; signing 2021/914 alone does not resolve its scope.</w:t>
      </w:r>
    </w:p>
    <w:p>
      <w:pPr>
        <w:pStyle w:val="Heading1"/>
      </w:pPr>
      <w:r>
        <w:rPr>
          <w:rFonts w:ascii="Arial" w:hAnsi="Arial"/>
          <w:color w:val="000000"/>
        </w:rPr>
        <w:t>3. Determine the transfer basis, modules and contractual annexes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654"/>
        <w:gridCol w:w="6465"/>
        <w:gridCol w:w="3935"/>
      </w:tblGrid>
      <w:tr>
        <w:trPr>
          <w:cantSplit/>
          <w:tblHeader w:val="true"/>
        </w:trPr>
        <w:tc>
          <w:tcPr>
            <w:tcW w:type="dxa" w:w="3654"/>
            <w:vAlign w:val="center"/>
            <w:shd w:fill="222222"/>
          </w:tcPr>
          <w:p>
            <w:pPr>
              <w:keepNext/>
              <w:spacing w:after="0" w:before="0" w:line="264" w:lineRule="auto"/>
            </w:pPr>
            <w:r>
              <w:rPr>
                <w:rFonts w:ascii="Arial" w:hAnsi="Arial"/>
                <w:b/>
                <w:color w:val="FFFFFF"/>
                <w:sz w:val="20"/>
              </w:rPr>
              <w:t>Possible basis</w:t>
            </w:r>
          </w:p>
        </w:tc>
        <w:tc>
          <w:tcPr>
            <w:tcW w:type="dxa" w:w="6465"/>
            <w:vAlign w:val="center"/>
            <w:shd w:fill="222222"/>
          </w:tcPr>
          <w:p>
            <w:pPr>
              <w:keepNext/>
              <w:spacing w:after="0" w:before="0" w:line="264" w:lineRule="auto"/>
            </w:pPr>
            <w:r>
              <w:rPr>
                <w:rFonts w:ascii="Arial" w:hAnsi="Arial"/>
                <w:b/>
                <w:color w:val="FFFFFF"/>
                <w:sz w:val="20"/>
              </w:rPr>
              <w:t>Specific assessment</w:t>
            </w:r>
          </w:p>
        </w:tc>
        <w:tc>
          <w:tcPr>
            <w:tcW w:type="dxa" w:w="3935"/>
            <w:vAlign w:val="center"/>
            <w:shd w:fill="222222"/>
          </w:tcPr>
          <w:p>
            <w:pPr>
              <w:keepNext/>
              <w:spacing w:after="0" w:before="0" w:line="264" w:lineRule="auto"/>
            </w:pPr>
            <w:r>
              <w:rPr>
                <w:rFonts w:ascii="Arial" w:hAnsi="Arial"/>
                <w:b/>
                <w:color w:val="FFFFFF"/>
                <w:sz w:val="20"/>
              </w:rPr>
              <w:t>Finding, reasoning and evidence</w:t>
            </w:r>
          </w:p>
        </w:tc>
      </w:tr>
      <w:tr>
        <w:trPr>
          <w:cantSplit/>
        </w:trPr>
        <w:tc>
          <w:tcPr>
            <w:tcW w:type="dxa" w:w="3654"/>
            <w:vAlign w:val="center"/>
            <w:shd w:fill="FFFFFF"/>
          </w:tcPr>
          <w:p>
            <w:pPr>
              <w:spacing w:after="0" w:before="0" w:line="264" w:lineRule="auto"/>
            </w:pPr>
            <w:r>
              <w:rPr>
                <w:rFonts w:ascii="Arial" w:hAnsi="Arial"/>
                <w:color w:val="111111"/>
                <w:sz w:val="20"/>
              </w:rPr>
              <w:t>Article 45 GDPR: adequacy decision</w:t>
            </w:r>
          </w:p>
        </w:tc>
        <w:tc>
          <w:tcPr>
            <w:tcW w:type="dxa" w:w="6465"/>
            <w:vAlign w:val="center"/>
            <w:shd w:fill="FFFFFF"/>
          </w:tcPr>
          <w:p>
            <w:pPr>
              <w:spacing w:after="0" w:before="0" w:line="264" w:lineRule="auto"/>
            </w:pPr>
            <w:r>
              <w:rPr>
                <w:rFonts w:ascii="Arial" w:hAnsi="Arial"/>
                <w:color w:val="111111"/>
                <w:sz w:val="20"/>
              </w:rPr>
              <w:t>Which current decision? Does it cover the territory, sector, recipient and processing? Where recipient-specific conditions apply, what is the current status and coverage?</w:t>
            </w:r>
          </w:p>
        </w:tc>
        <w:tc>
          <w:tcPr>
            <w:tcW w:type="dxa" w:w="3935"/>
            <w:vAlign w:val="center"/>
            <w:shd w:fill="FFFFFF"/>
          </w:tcPr>
          <w:p>
            <w:pPr>
              <w:spacing w:after="0" w:before="0" w:line="264" w:lineRule="auto"/>
            </w:pPr>
            <w:r>
              <w:rPr>
                <w:rFonts w:ascii="Arial" w:hAnsi="Arial"/>
                <w:color w:val="111111"/>
                <w:sz w:val="20"/>
              </w:rPr>
              <w:t>[complete]</w:t>
            </w:r>
          </w:p>
        </w:tc>
      </w:tr>
      <w:tr>
        <w:trPr>
          <w:cantSplit/>
        </w:trPr>
        <w:tc>
          <w:tcPr>
            <w:tcW w:type="dxa" w:w="3654"/>
            <w:vAlign w:val="center"/>
            <w:shd w:fill="F4F5F5"/>
          </w:tcPr>
          <w:p>
            <w:pPr>
              <w:spacing w:after="0" w:before="0" w:line="264" w:lineRule="auto"/>
            </w:pPr>
            <w:r>
              <w:rPr>
                <w:rFonts w:ascii="Arial" w:hAnsi="Arial"/>
                <w:color w:val="111111"/>
                <w:sz w:val="20"/>
              </w:rPr>
              <w:t>Article 46 GDPR: appropriate safeguards</w:t>
            </w:r>
          </w:p>
        </w:tc>
        <w:tc>
          <w:tcPr>
            <w:tcW w:type="dxa" w:w="6465"/>
            <w:vAlign w:val="center"/>
            <w:shd w:fill="F4F5F5"/>
          </w:tcPr>
          <w:p>
            <w:pPr>
              <w:spacing w:after="0" w:before="0" w:line="264" w:lineRule="auto"/>
            </w:pPr>
            <w:r>
              <w:rPr>
                <w:rFonts w:ascii="Arial" w:hAnsi="Arial"/>
                <w:color w:val="111111"/>
                <w:sz w:val="20"/>
              </w:rPr>
              <w:t>Which instrument and precise scope? Are the required contracts, authorisations and safeguards effective?</w:t>
            </w:r>
          </w:p>
        </w:tc>
        <w:tc>
          <w:tcPr>
            <w:tcW w:type="dxa" w:w="3935"/>
            <w:vAlign w:val="center"/>
            <w:shd w:fill="F4F5F5"/>
          </w:tcPr>
          <w:p>
            <w:pPr>
              <w:spacing w:after="0" w:before="0" w:line="264" w:lineRule="auto"/>
            </w:pPr>
            <w:r>
              <w:rPr>
                <w:rFonts w:ascii="Arial" w:hAnsi="Arial"/>
                <w:color w:val="111111"/>
                <w:sz w:val="20"/>
              </w:rPr>
              <w:t>[complete]</w:t>
            </w:r>
          </w:p>
        </w:tc>
      </w:tr>
      <w:tr>
        <w:trPr>
          <w:cantSplit/>
        </w:trPr>
        <w:tc>
          <w:tcPr>
            <w:tcW w:type="dxa" w:w="3654"/>
            <w:vAlign w:val="center"/>
            <w:shd w:fill="FFFFFF"/>
          </w:tcPr>
          <w:p>
            <w:pPr>
              <w:spacing w:after="0" w:before="0" w:line="264" w:lineRule="auto"/>
            </w:pPr>
            <w:r>
              <w:rPr>
                <w:rFonts w:ascii="Arial" w:hAnsi="Arial"/>
                <w:color w:val="111111"/>
                <w:sz w:val="20"/>
              </w:rPr>
              <w:t>Article 49 GDPR: derogation for specific situations</w:t>
            </w:r>
          </w:p>
        </w:tc>
        <w:tc>
          <w:tcPr>
            <w:tcW w:type="dxa" w:w="6465"/>
            <w:vAlign w:val="center"/>
            <w:shd w:fill="FFFFFF"/>
          </w:tcPr>
          <w:p>
            <w:pPr>
              <w:spacing w:after="0" w:before="0" w:line="264" w:lineRule="auto"/>
            </w:pPr>
            <w:r>
              <w:rPr>
                <w:rFonts w:ascii="Arial" w:hAnsi="Arial"/>
                <w:color w:val="111111"/>
                <w:sz w:val="20"/>
              </w:rPr>
              <w:t>Which specific derogation and conditions are relied on? Assess its scope and limits; do not use it as a general replacement for an unsustainable routine transfer.</w:t>
            </w:r>
          </w:p>
        </w:tc>
        <w:tc>
          <w:tcPr>
            <w:tcW w:type="dxa" w:w="3935"/>
            <w:vAlign w:val="center"/>
            <w:shd w:fill="FFFFFF"/>
          </w:tcPr>
          <w:p>
            <w:pPr>
              <w:spacing w:after="0" w:before="0" w:line="264" w:lineRule="auto"/>
            </w:pPr>
            <w:r>
              <w:rPr>
                <w:rFonts w:ascii="Arial" w:hAnsi="Arial"/>
                <w:color w:val="111111"/>
                <w:sz w:val="20"/>
              </w:rPr>
              <w:t>[complete]</w:t>
            </w:r>
          </w:p>
        </w:tc>
      </w:tr>
    </w:tbl>
    <w:p>
      <w:pPr>
        <w:spacing w:after="0" w:line="20" w:lineRule="exact"/>
      </w:pPr>
      <w:r>
        <w:rPr>
          <w:sz w:val="2"/>
        </w:rPr>
      </w:r>
    </w:p>
    <w:p>
      <w:pPr>
        <w:ind w:right="1800"/>
      </w:pPr>
      <w:r>
        <w:rPr>
          <w:rFonts w:ascii="Arial" w:hAnsi="Arial"/>
          <w:b/>
        </w:rPr>
        <w:t>Chosen basis for each flow:</w:t>
      </w:r>
      <w:r>
        <w:rPr>
          <w:rFonts w:ascii="Arial" w:hAnsi="Arial"/>
        </w:rPr>
        <w:t xml:space="preserve"> [Instrument, legal provision, version, parties, evidence and reasoning].</w:t>
      </w:r>
    </w:p>
    <w:p>
      <w:pPr>
        <w:ind w:right="1800"/>
      </w:pPr>
      <w:r>
        <w:rPr>
          <w:rFonts w:ascii="Arial" w:hAnsi="Arial"/>
          <w:b/>
        </w:rPr>
        <w:t>Is a TIA required for these circumstances, and what does it cover?</w:t>
      </w:r>
      <w:r>
        <w:rPr>
          <w:rFonts w:ascii="Arial" w:hAnsi="Arial"/>
        </w:rPr>
        <w:t xml:space="preserve"> [complete]. CNIL associates a TIA with assessment of Article 46 instruments. Where Article 45 or a valid Article 49 derogation applies, document that finding; its conditions and other GDPR duties remain to be assessed. Mark unnecessary subsequent sections with a reason.</w:t>
      </w:r>
    </w:p>
    <w:p>
      <w:pPr>
        <w:pStyle w:val="Heading2"/>
      </w:pPr>
      <w:r>
        <w:rPr>
          <w:rFonts w:ascii="Arial" w:hAnsi="Arial"/>
          <w:color w:val="000000"/>
        </w:rPr>
        <w:t>Where the 2021/914 SCCs are used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654"/>
        <w:gridCol w:w="6465"/>
        <w:gridCol w:w="3935"/>
      </w:tblGrid>
      <w:tr>
        <w:trPr>
          <w:cantSplit/>
          <w:tblHeader w:val="true"/>
        </w:trPr>
        <w:tc>
          <w:tcPr>
            <w:tcW w:type="dxa" w:w="3654"/>
            <w:vAlign w:val="center"/>
            <w:shd w:fill="222222"/>
          </w:tcPr>
          <w:p>
            <w:pPr>
              <w:keepNext/>
              <w:spacing w:after="0" w:before="0" w:line="264" w:lineRule="auto"/>
            </w:pPr>
            <w:r>
              <w:rPr>
                <w:rFonts w:ascii="Arial" w:hAnsi="Arial"/>
                <w:b/>
                <w:color w:val="FFFFFF"/>
                <w:sz w:val="20"/>
              </w:rPr>
              <w:t>Relationship</w:t>
            </w:r>
          </w:p>
        </w:tc>
        <w:tc>
          <w:tcPr>
            <w:tcW w:type="dxa" w:w="6465"/>
            <w:vAlign w:val="center"/>
            <w:shd w:fill="222222"/>
          </w:tcPr>
          <w:p>
            <w:pPr>
              <w:keepNext/>
              <w:spacing w:after="0" w:before="0" w:line="264" w:lineRule="auto"/>
            </w:pPr>
            <w:r>
              <w:rPr>
                <w:rFonts w:ascii="Arial" w:hAnsi="Arial"/>
                <w:b/>
                <w:color w:val="FFFFFF"/>
                <w:sz w:val="20"/>
              </w:rPr>
              <w:t>Module</w:t>
            </w:r>
          </w:p>
        </w:tc>
        <w:tc>
          <w:tcPr>
            <w:tcW w:type="dxa" w:w="3935"/>
            <w:vAlign w:val="center"/>
            <w:shd w:fill="222222"/>
          </w:tcPr>
          <w:p>
            <w:pPr>
              <w:keepNext/>
              <w:spacing w:after="0" w:before="0" w:line="264" w:lineRule="auto"/>
            </w:pPr>
            <w:r>
              <w:rPr>
                <w:rFonts w:ascii="Arial" w:hAnsi="Arial"/>
                <w:b/>
                <w:color w:val="FFFFFF"/>
                <w:sz w:val="20"/>
              </w:rPr>
              <w:t>Selection / relevant flow</w:t>
            </w:r>
          </w:p>
        </w:tc>
      </w:tr>
      <w:tr>
        <w:trPr>
          <w:cantSplit/>
        </w:trPr>
        <w:tc>
          <w:tcPr>
            <w:tcW w:type="dxa" w:w="3654"/>
            <w:vAlign w:val="center"/>
            <w:shd w:fill="FFFFFF"/>
          </w:tcPr>
          <w:p>
            <w:pPr>
              <w:spacing w:after="0" w:before="0" w:line="264" w:lineRule="auto"/>
            </w:pPr>
            <w:r>
              <w:rPr>
                <w:rFonts w:ascii="Arial" w:hAnsi="Arial"/>
                <w:color w:val="111111"/>
                <w:sz w:val="20"/>
              </w:rPr>
              <w:t>Controller to controller</w:t>
            </w:r>
          </w:p>
        </w:tc>
        <w:tc>
          <w:tcPr>
            <w:tcW w:type="dxa" w:w="6465"/>
            <w:vAlign w:val="center"/>
            <w:shd w:fill="FFFFFF"/>
          </w:tcPr>
          <w:p>
            <w:pPr>
              <w:spacing w:after="0" w:before="0" w:line="264" w:lineRule="auto"/>
            </w:pPr>
            <w:r>
              <w:rPr>
                <w:rFonts w:ascii="Arial" w:hAnsi="Arial"/>
                <w:color w:val="111111"/>
                <w:sz w:val="20"/>
              </w:rPr>
              <w:t>1</w:t>
            </w:r>
          </w:p>
        </w:tc>
        <w:tc>
          <w:tcPr>
            <w:tcW w:type="dxa" w:w="3935"/>
            <w:vAlign w:val="center"/>
            <w:shd w:fill="FFFFFF"/>
          </w:tcPr>
          <w:p>
            <w:pPr>
              <w:spacing w:after="0" w:before="0" w:line="264" w:lineRule="auto"/>
            </w:pPr>
            <w:r>
              <w:rPr>
                <w:rFonts w:ascii="Arial" w:hAnsi="Arial"/>
                <w:color w:val="111111"/>
                <w:sz w:val="20"/>
              </w:rPr>
              <w:t>[complete]</w:t>
            </w:r>
          </w:p>
        </w:tc>
      </w:tr>
      <w:tr>
        <w:trPr>
          <w:cantSplit/>
        </w:trPr>
        <w:tc>
          <w:tcPr>
            <w:tcW w:type="dxa" w:w="3654"/>
            <w:vAlign w:val="center"/>
            <w:shd w:fill="F4F5F5"/>
          </w:tcPr>
          <w:p>
            <w:pPr>
              <w:spacing w:after="0" w:before="0" w:line="264" w:lineRule="auto"/>
            </w:pPr>
            <w:r>
              <w:rPr>
                <w:rFonts w:ascii="Arial" w:hAnsi="Arial"/>
                <w:color w:val="111111"/>
                <w:sz w:val="20"/>
              </w:rPr>
              <w:t>Controller to processor</w:t>
            </w:r>
          </w:p>
        </w:tc>
        <w:tc>
          <w:tcPr>
            <w:tcW w:type="dxa" w:w="6465"/>
            <w:vAlign w:val="center"/>
            <w:shd w:fill="F4F5F5"/>
          </w:tcPr>
          <w:p>
            <w:pPr>
              <w:spacing w:after="0" w:before="0" w:line="264" w:lineRule="auto"/>
            </w:pPr>
            <w:r>
              <w:rPr>
                <w:rFonts w:ascii="Arial" w:hAnsi="Arial"/>
                <w:color w:val="111111"/>
                <w:sz w:val="20"/>
              </w:rPr>
              <w:t>2</w:t>
            </w:r>
          </w:p>
        </w:tc>
        <w:tc>
          <w:tcPr>
            <w:tcW w:type="dxa" w:w="3935"/>
            <w:vAlign w:val="center"/>
            <w:shd w:fill="F4F5F5"/>
          </w:tcPr>
          <w:p>
            <w:pPr>
              <w:spacing w:after="0" w:before="0" w:line="264" w:lineRule="auto"/>
            </w:pPr>
            <w:r>
              <w:rPr>
                <w:rFonts w:ascii="Arial" w:hAnsi="Arial"/>
                <w:color w:val="111111"/>
                <w:sz w:val="20"/>
              </w:rPr>
              <w:t>[complete]</w:t>
            </w:r>
          </w:p>
        </w:tc>
      </w:tr>
      <w:tr>
        <w:trPr>
          <w:cantSplit/>
        </w:trPr>
        <w:tc>
          <w:tcPr>
            <w:tcW w:type="dxa" w:w="3654"/>
            <w:vAlign w:val="center"/>
            <w:shd w:fill="FFFFFF"/>
          </w:tcPr>
          <w:p>
            <w:pPr>
              <w:spacing w:after="0" w:before="0" w:line="264" w:lineRule="auto"/>
            </w:pPr>
            <w:r>
              <w:rPr>
                <w:rFonts w:ascii="Arial" w:hAnsi="Arial"/>
                <w:color w:val="111111"/>
                <w:sz w:val="20"/>
              </w:rPr>
              <w:t>Processor to processor / sub-processor</w:t>
            </w:r>
          </w:p>
        </w:tc>
        <w:tc>
          <w:tcPr>
            <w:tcW w:type="dxa" w:w="6465"/>
            <w:vAlign w:val="center"/>
            <w:shd w:fill="FFFFFF"/>
          </w:tcPr>
          <w:p>
            <w:pPr>
              <w:spacing w:after="0" w:before="0" w:line="264" w:lineRule="auto"/>
            </w:pPr>
            <w:r>
              <w:rPr>
                <w:rFonts w:ascii="Arial" w:hAnsi="Arial"/>
                <w:color w:val="111111"/>
                <w:sz w:val="20"/>
              </w:rPr>
              <w:t>3</w:t>
            </w:r>
          </w:p>
        </w:tc>
        <w:tc>
          <w:tcPr>
            <w:tcW w:type="dxa" w:w="3935"/>
            <w:vAlign w:val="center"/>
            <w:shd w:fill="FFFFFF"/>
          </w:tcPr>
          <w:p>
            <w:pPr>
              <w:spacing w:after="0" w:before="0" w:line="264" w:lineRule="auto"/>
            </w:pPr>
            <w:r>
              <w:rPr>
                <w:rFonts w:ascii="Arial" w:hAnsi="Arial"/>
                <w:color w:val="111111"/>
                <w:sz w:val="20"/>
              </w:rPr>
              <w:t>[complete]</w:t>
            </w:r>
          </w:p>
        </w:tc>
      </w:tr>
      <w:tr>
        <w:trPr>
          <w:cantSplit/>
        </w:trPr>
        <w:tc>
          <w:tcPr>
            <w:tcW w:type="dxa" w:w="3654"/>
            <w:vAlign w:val="center"/>
            <w:shd w:fill="F4F5F5"/>
          </w:tcPr>
          <w:p>
            <w:pPr>
              <w:spacing w:after="0" w:before="0" w:line="264" w:lineRule="auto"/>
            </w:pPr>
            <w:r>
              <w:rPr>
                <w:rFonts w:ascii="Arial" w:hAnsi="Arial"/>
                <w:color w:val="111111"/>
                <w:sz w:val="20"/>
              </w:rPr>
              <w:t>Processor to controller</w:t>
            </w:r>
          </w:p>
        </w:tc>
        <w:tc>
          <w:tcPr>
            <w:tcW w:type="dxa" w:w="6465"/>
            <w:vAlign w:val="center"/>
            <w:shd w:fill="F4F5F5"/>
          </w:tcPr>
          <w:p>
            <w:pPr>
              <w:spacing w:after="0" w:before="0" w:line="264" w:lineRule="auto"/>
            </w:pPr>
            <w:r>
              <w:rPr>
                <w:rFonts w:ascii="Arial" w:hAnsi="Arial"/>
                <w:color w:val="111111"/>
                <w:sz w:val="20"/>
              </w:rPr>
              <w:t>4</w:t>
            </w:r>
          </w:p>
        </w:tc>
        <w:tc>
          <w:tcPr>
            <w:tcW w:type="dxa" w:w="3935"/>
            <w:vAlign w:val="center"/>
            <w:shd w:fill="F4F5F5"/>
          </w:tcPr>
          <w:p>
            <w:pPr>
              <w:spacing w:after="0" w:before="0" w:line="264" w:lineRule="auto"/>
            </w:pPr>
            <w:r>
              <w:rPr>
                <w:rFonts w:ascii="Arial" w:hAnsi="Arial"/>
                <w:color w:val="111111"/>
                <w:sz w:val="20"/>
              </w:rPr>
              <w:t>[complete]</w:t>
            </w:r>
          </w:p>
        </w:tc>
      </w:tr>
    </w:tbl>
    <w:p>
      <w:pPr>
        <w:spacing w:after="0" w:line="20" w:lineRule="exact"/>
      </w:pPr>
      <w:r>
        <w:rPr>
          <w:sz w:val="2"/>
        </w:rPr>
      </w:r>
    </w:p>
    <w:p>
      <w:pPr>
        <w:ind w:right="1800"/>
      </w:pPr>
      <w:r>
        <w:rPr>
          <w:rFonts w:ascii="Arial" w:hAnsi="Arial"/>
          <w:b/>
        </w:rPr>
        <w:t>Explain scope and selection:</w:t>
      </w:r>
      <w:r>
        <w:rPr>
          <w:rFonts w:ascii="Arial" w:hAnsi="Arial"/>
        </w:rPr>
        <w:t xml:space="preserve"> [Connect the role assessment, Article 3 position and actual contract]. Clause 14 has a particular condition for Module 4: the EU processor combines personal data received from the third-country controller with personal data collected by the processor in the EU. Record whether this applies to the flow concerned and which clauses actually govern it.</w:t>
      </w:r>
    </w:p>
    <w:p>
      <w:pPr>
        <w:ind w:right="1800"/>
      </w:pPr>
      <w:r>
        <w:rPr>
          <w:rFonts w:ascii="Arial" w:hAnsi="Arial"/>
          <w:b/>
        </w:rPr>
        <w:t>Review the contractual records:</w:t>
      </w:r>
    </w:p>
    <w:p>
      <w:pPr>
        <w:spacing w:after="100"/>
        <w:ind w:left="259" w:hanging="259" w:right="1800"/>
      </w:pPr>
      <w:r>
        <w:rPr>
          <w:rFonts w:ascii="Arial" w:hAnsi="Arial"/>
        </w:rPr>
        <w:t>- SCC version, agreed modules/options, signature and relationship with other contractual provisions: [reference and assessment].</w:t>
      </w:r>
    </w:p>
    <w:p>
      <w:pPr>
        <w:spacing w:after="100"/>
        <w:ind w:left="259" w:hanging="259" w:right="1800"/>
      </w:pPr>
      <w:r>
        <w:rPr>
          <w:rFonts w:ascii="Arial" w:hAnsi="Arial"/>
        </w:rPr>
        <w:t>- Annex I: parties, transfer description and competent supervisory authority: [version, completeness and consistency with sections 1/2].</w:t>
      </w:r>
    </w:p>
    <w:p>
      <w:pPr>
        <w:spacing w:after="100"/>
        <w:ind w:left="259" w:hanging="259" w:right="1800"/>
      </w:pPr>
      <w:r>
        <w:rPr>
          <w:rFonts w:ascii="Arial" w:hAnsi="Arial"/>
        </w:rPr>
        <w:t>- Annex II: specific technical and organisational measures: [version and mapping to evidence in section 5].</w:t>
      </w:r>
    </w:p>
    <w:p>
      <w:pPr>
        <w:spacing w:after="100"/>
        <w:ind w:left="259" w:hanging="259" w:right="1800"/>
      </w:pPr>
      <w:r>
        <w:rPr>
          <w:rFonts w:ascii="Arial" w:hAnsi="Arial"/>
        </w:rPr>
        <w:t>- Sub-processing under Clause 9: [specific or general authorisation, parties, notification route and opportunity to object]. Complete Annex III where specific authorisation is used; document the applicable list/change procedure for general authorisation.</w:t>
      </w:r>
    </w:p>
    <w:p>
      <w:pPr>
        <w:spacing w:after="100"/>
        <w:ind w:left="259" w:hanging="259" w:right="1800"/>
      </w:pPr>
      <w:r>
        <w:rPr>
          <w:rFonts w:ascii="Arial" w:hAnsi="Arial"/>
        </w:rPr>
        <w:t>- For Modules 2/3: coverage of Article 28(3)/(4) and suitable instructions: [reference and assessment]. The 2021/915 clauses concern processing on a controller’s behalf, but are not themselves an instrument for third-country transfers.</w:t>
      </w:r>
    </w:p>
    <w:p>
      <w:pPr>
        <w:spacing w:after="100"/>
        <w:ind w:left="259" w:hanging="259" w:right="1800"/>
      </w:pPr>
      <w:r>
        <w:rPr>
          <w:rFonts w:ascii="Arial" w:hAnsi="Arial"/>
        </w:rPr>
        <w:t>- Onward transfers: [appropriate provision for each further recipient, flow identifier and evidence].</w:t>
      </w:r>
    </w:p>
    <w:p>
      <w:pPr>
        <w:pStyle w:val="Heading1"/>
      </w:pPr>
      <w:r>
        <w:rPr>
          <w:rFonts w:ascii="Arial" w:hAnsi="Arial"/>
          <w:color w:val="000000"/>
        </w:rPr>
        <w:t>4. Assess relevant third-country law and practice</w:t>
      </w:r>
    </w:p>
    <w:p>
      <w:pPr>
        <w:ind w:right="1800"/>
      </w:pPr>
      <w:r>
        <w:rPr>
          <w:rFonts w:ascii="Arial" w:hAnsi="Arial"/>
        </w:rPr>
        <w:t>For each relevant country and importer, establish which laws and practices affect the particular processing. Address public-authority access and the effectiveness of the chosen instrument. A general country profile is insufficient.</w:t>
      </w:r>
    </w:p>
    <w:p>
      <w:pPr>
        <w:pStyle w:val="Heading2"/>
      </w:pPr>
      <w:r>
        <w:rPr>
          <w:rFonts w:ascii="Arial" w:hAnsi="Arial"/>
          <w:color w:val="000000"/>
        </w:rPr>
        <w:t>Source register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092"/>
        <w:gridCol w:w="3795"/>
        <w:gridCol w:w="2951"/>
        <w:gridCol w:w="2108"/>
        <w:gridCol w:w="2108"/>
      </w:tblGrid>
      <w:tr>
        <w:trPr>
          <w:cantSplit/>
          <w:tblHeader w:val="true"/>
        </w:trPr>
        <w:tc>
          <w:tcPr>
            <w:tcW w:type="dxa" w:w="3092"/>
            <w:vAlign w:val="center"/>
            <w:shd w:fill="222222"/>
          </w:tcPr>
          <w:p>
            <w:pPr>
              <w:keepNext/>
              <w:spacing w:after="0" w:before="0" w:line="264" w:lineRule="auto"/>
            </w:pPr>
            <w:r>
              <w:rPr>
                <w:rFonts w:ascii="Arial" w:hAnsi="Arial"/>
                <w:b/>
                <w:color w:val="FFFFFF"/>
                <w:sz w:val="20"/>
              </w:rPr>
              <w:t>Source ID</w:t>
            </w:r>
          </w:p>
        </w:tc>
        <w:tc>
          <w:tcPr>
            <w:tcW w:type="dxa" w:w="3795"/>
            <w:vAlign w:val="center"/>
            <w:shd w:fill="222222"/>
          </w:tcPr>
          <w:p>
            <w:pPr>
              <w:keepNext/>
              <w:spacing w:after="0" w:before="0" w:line="264" w:lineRule="auto"/>
            </w:pPr>
            <w:r>
              <w:rPr>
                <w:rFonts w:ascii="Arial" w:hAnsi="Arial"/>
                <w:b/>
                <w:color w:val="FFFFFF"/>
                <w:sz w:val="20"/>
              </w:rPr>
              <w:t>Publisher / title / legal provision</w:t>
            </w:r>
          </w:p>
        </w:tc>
        <w:tc>
          <w:tcPr>
            <w:tcW w:type="dxa" w:w="2951"/>
            <w:vAlign w:val="center"/>
            <w:shd w:fill="222222"/>
          </w:tcPr>
          <w:p>
            <w:pPr>
              <w:keepNext/>
              <w:spacing w:after="0" w:before="0" w:line="264" w:lineRule="auto"/>
            </w:pPr>
            <w:r>
              <w:rPr>
                <w:rFonts w:ascii="Arial" w:hAnsi="Arial"/>
                <w:b/>
                <w:color w:val="FFFFFF"/>
                <w:sz w:val="20"/>
              </w:rPr>
              <w:t>Version and legal status</w:t>
            </w:r>
          </w:p>
        </w:tc>
        <w:tc>
          <w:tcPr>
            <w:tcW w:type="dxa" w:w="2108"/>
            <w:vAlign w:val="center"/>
            <w:shd w:fill="222222"/>
          </w:tcPr>
          <w:p>
            <w:pPr>
              <w:keepNext/>
              <w:spacing w:after="0" w:before="0" w:line="264" w:lineRule="auto"/>
            </w:pPr>
            <w:r>
              <w:rPr>
                <w:rFonts w:ascii="Arial" w:hAnsi="Arial"/>
                <w:b/>
                <w:color w:val="FFFFFF"/>
                <w:sz w:val="20"/>
              </w:rPr>
              <w:t>URL / retained record</w:t>
            </w:r>
          </w:p>
        </w:tc>
        <w:tc>
          <w:tcPr>
            <w:tcW w:type="dxa" w:w="2108"/>
            <w:vAlign w:val="center"/>
            <w:shd w:fill="222222"/>
          </w:tcPr>
          <w:p>
            <w:pPr>
              <w:keepNext/>
              <w:spacing w:after="0" w:before="0" w:line="264" w:lineRule="auto"/>
            </w:pPr>
            <w:r>
              <w:rPr>
                <w:rFonts w:ascii="Arial" w:hAnsi="Arial"/>
                <w:b/>
                <w:color w:val="FFFFFF"/>
                <w:sz w:val="20"/>
              </w:rPr>
              <w:t>Access date and finding verified</w:t>
            </w:r>
          </w:p>
        </w:tc>
      </w:tr>
      <w:tr>
        <w:trPr>
          <w:cantSplit/>
        </w:trPr>
        <w:tc>
          <w:tcPr>
            <w:tcW w:type="dxa" w:w="3092"/>
            <w:vAlign w:val="center"/>
            <w:shd w:fill="FFFFFF"/>
          </w:tcPr>
          <w:p>
            <w:pPr>
              <w:spacing w:after="0" w:before="0" w:line="264" w:lineRule="auto"/>
              <w:jc w:val="center"/>
            </w:pPr>
            <w:r>
              <w:rPr>
                <w:rFonts w:ascii="Arial" w:hAnsi="Arial"/>
                <w:color w:val="111111"/>
                <w:sz w:val="20"/>
              </w:rPr>
              <w:t>[complete]</w:t>
            </w:r>
          </w:p>
        </w:tc>
        <w:tc>
          <w:tcPr>
            <w:tcW w:type="dxa" w:w="3795"/>
            <w:vAlign w:val="center"/>
            <w:shd w:fill="FFFFFF"/>
          </w:tcPr>
          <w:p>
            <w:pPr>
              <w:spacing w:after="0" w:before="0" w:line="264" w:lineRule="auto"/>
            </w:pPr>
            <w:r>
              <w:rPr>
                <w:rFonts w:ascii="Arial" w:hAnsi="Arial"/>
                <w:color w:val="111111"/>
                <w:sz w:val="20"/>
              </w:rPr>
              <w:t>[Prefer official primary sources; identify other information as such]</w:t>
            </w:r>
          </w:p>
        </w:tc>
        <w:tc>
          <w:tcPr>
            <w:tcW w:type="dxa" w:w="2951"/>
            <w:vAlign w:val="center"/>
            <w:shd w:fill="FFFFFF"/>
          </w:tcPr>
          <w:p>
            <w:pPr>
              <w:spacing w:after="0" w:before="0" w:line="264" w:lineRule="auto"/>
              <w:jc w:val="center"/>
            </w:pPr>
            <w:r>
              <w:rPr>
                <w:rFonts w:ascii="Arial" w:hAnsi="Arial"/>
                <w:color w:val="111111"/>
                <w:sz w:val="20"/>
              </w:rPr>
              <w:t>[complete]</w:t>
            </w:r>
          </w:p>
        </w:tc>
        <w:tc>
          <w:tcPr>
            <w:tcW w:type="dxa" w:w="2108"/>
            <w:vAlign w:val="center"/>
            <w:shd w:fill="FFFFFF"/>
          </w:tcPr>
          <w:p>
            <w:pPr>
              <w:spacing w:after="0" w:before="0" w:line="264" w:lineRule="auto"/>
              <w:jc w:val="center"/>
            </w:pPr>
            <w:r>
              <w:rPr>
                <w:rFonts w:ascii="Arial" w:hAnsi="Arial"/>
                <w:color w:val="111111"/>
                <w:sz w:val="20"/>
              </w:rPr>
              <w:t>[complete]</w:t>
            </w:r>
          </w:p>
        </w:tc>
        <w:tc>
          <w:tcPr>
            <w:tcW w:type="dxa" w:w="2108"/>
            <w:vAlign w:val="center"/>
            <w:shd w:fill="FFFFFF"/>
          </w:tcPr>
          <w:p>
            <w:pPr>
              <w:spacing w:after="0" w:before="0" w:line="264" w:lineRule="auto"/>
              <w:jc w:val="center"/>
            </w:pPr>
            <w:r>
              <w:rPr>
                <w:rFonts w:ascii="Arial" w:hAnsi="Arial"/>
                <w:color w:val="111111"/>
                <w:sz w:val="20"/>
              </w:rPr>
              <w:t>[complete]</w:t>
            </w:r>
          </w:p>
        </w:tc>
      </w:tr>
    </w:tbl>
    <w:p>
      <w:pPr>
        <w:spacing w:after="0" w:line="20" w:lineRule="exact"/>
      </w:pPr>
      <w:r>
        <w:rPr>
          <w:sz w:val="2"/>
        </w:rPr>
      </w:r>
    </w:p>
    <w:p>
      <w:pPr>
        <w:pStyle w:val="Heading2"/>
      </w:pPr>
      <w:r>
        <w:rPr>
          <w:rFonts w:ascii="Arial" w:hAnsi="Arial"/>
          <w:color w:val="000000"/>
        </w:rPr>
        <w:t>Finding [identifier] for country [complete] and flow [complete]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Question</w:t>
            </w:r>
          </w:p>
        </w:tc>
        <w:tc>
          <w:tcPr>
            <w:tcW w:type="dxa" w:w="8714"/>
            <w:vAlign w:val="center"/>
            <w:shd w:fill="222222"/>
          </w:tcPr>
          <w:p>
            <w:pPr>
              <w:keepNext/>
              <w:spacing w:after="0" w:before="0" w:line="264" w:lineRule="auto"/>
            </w:pPr>
            <w:r>
              <w:rPr>
                <w:rFonts w:ascii="Arial" w:hAnsi="Arial"/>
                <w:b/>
                <w:color w:val="FFFFFF"/>
                <w:sz w:val="20"/>
              </w:rPr>
              <w:t>Specific finding with source ID and reasoning</w:t>
            </w:r>
          </w:p>
        </w:tc>
      </w:tr>
      <w:tr>
        <w:trPr>
          <w:cantSplit/>
        </w:trPr>
        <w:tc>
          <w:tcPr>
            <w:tcW w:type="dxa" w:w="5341"/>
            <w:vAlign w:val="center"/>
            <w:shd w:fill="FFFFFF"/>
          </w:tcPr>
          <w:p>
            <w:pPr>
              <w:spacing w:after="0" w:before="0" w:line="264" w:lineRule="auto"/>
            </w:pPr>
            <w:r>
              <w:rPr>
                <w:rFonts w:ascii="Arial" w:hAnsi="Arial"/>
                <w:color w:val="111111"/>
                <w:sz w:val="20"/>
              </w:rPr>
              <w:t>Which provision or practice applies to the importer, and why?</w:t>
            </w:r>
          </w:p>
        </w:tc>
        <w:tc>
          <w:tcPr>
            <w:tcW w:type="dxa" w:w="8714"/>
            <w:vAlign w:val="center"/>
            <w:shd w:fill="FFFFFF"/>
          </w:tcPr>
          <w:p>
            <w:pPr>
              <w:spacing w:after="0" w:before="0" w:line="264" w:lineRule="auto"/>
            </w:pPr>
            <w:r>
              <w:rPr>
                <w:rFonts w:ascii="Arial" w:hAnsi="Arial"/>
                <w:color w:val="111111"/>
                <w:sz w:val="20"/>
              </w:rPr>
              <w:t>[Sector, activity, jurisdiction, type of service or other connecting factor]</w:t>
            </w:r>
          </w:p>
        </w:tc>
      </w:tr>
      <w:tr>
        <w:trPr>
          <w:cantSplit/>
        </w:trPr>
        <w:tc>
          <w:tcPr>
            <w:tcW w:type="dxa" w:w="5341"/>
            <w:vAlign w:val="center"/>
            <w:shd w:fill="F4F5F5"/>
          </w:tcPr>
          <w:p>
            <w:pPr>
              <w:spacing w:after="0" w:before="0" w:line="264" w:lineRule="auto"/>
            </w:pPr>
            <w:r>
              <w:rPr>
                <w:rFonts w:ascii="Arial" w:hAnsi="Arial"/>
                <w:color w:val="111111"/>
                <w:sz w:val="20"/>
              </w:rPr>
              <w:t>Which data can be requested or directly accessed?</w:t>
            </w:r>
          </w:p>
        </w:tc>
        <w:tc>
          <w:tcPr>
            <w:tcW w:type="dxa" w:w="8714"/>
            <w:vAlign w:val="center"/>
            <w:shd w:fill="F4F5F5"/>
          </w:tcPr>
          <w:p>
            <w:pPr>
              <w:spacing w:after="0" w:before="0" w:line="264" w:lineRule="auto"/>
            </w:pPr>
            <w:r>
              <w:rPr>
                <w:rFonts w:ascii="Arial" w:hAnsi="Arial"/>
                <w:color w:val="111111"/>
                <w:sz w:val="20"/>
              </w:rPr>
              <w:t>[Categories, scope, systems affected, plaintext/access credentials]</w:t>
            </w:r>
          </w:p>
        </w:tc>
      </w:tr>
      <w:tr>
        <w:trPr>
          <w:cantSplit/>
        </w:trPr>
        <w:tc>
          <w:tcPr>
            <w:tcW w:type="dxa" w:w="5341"/>
            <w:vAlign w:val="center"/>
            <w:shd w:fill="FFFFFF"/>
          </w:tcPr>
          <w:p>
            <w:pPr>
              <w:spacing w:after="0" w:before="0" w:line="264" w:lineRule="auto"/>
            </w:pPr>
            <w:r>
              <w:rPr>
                <w:rFonts w:ascii="Arial" w:hAnsi="Arial"/>
                <w:color w:val="111111"/>
                <w:sz w:val="20"/>
              </w:rPr>
              <w:t>What conditions, limits and procedures apply?</w:t>
            </w:r>
          </w:p>
        </w:tc>
        <w:tc>
          <w:tcPr>
            <w:tcW w:type="dxa" w:w="8714"/>
            <w:vAlign w:val="center"/>
            <w:shd w:fill="FFFFFF"/>
          </w:tcPr>
          <w:p>
            <w:pPr>
              <w:spacing w:after="0" w:before="0" w:line="264" w:lineRule="auto"/>
            </w:pPr>
            <w:r>
              <w:rPr>
                <w:rFonts w:ascii="Arial" w:hAnsi="Arial"/>
                <w:color w:val="111111"/>
                <w:sz w:val="20"/>
              </w:rPr>
              <w:t>[Clarity of rules, trigger, scope, necessity and proportionality; exact references]</w:t>
            </w:r>
          </w:p>
        </w:tc>
      </w:tr>
      <w:tr>
        <w:trPr>
          <w:cantSplit/>
        </w:trPr>
        <w:tc>
          <w:tcPr>
            <w:tcW w:type="dxa" w:w="5341"/>
            <w:vAlign w:val="center"/>
            <w:shd w:fill="F4F5F5"/>
          </w:tcPr>
          <w:p>
            <w:pPr>
              <w:spacing w:after="0" w:before="0" w:line="264" w:lineRule="auto"/>
            </w:pPr>
            <w:r>
              <w:rPr>
                <w:rFonts w:ascii="Arial" w:hAnsi="Arial"/>
                <w:color w:val="111111"/>
                <w:sz w:val="20"/>
              </w:rPr>
              <w:t>What independent oversight and effective remedies are available?</w:t>
            </w:r>
          </w:p>
        </w:tc>
        <w:tc>
          <w:tcPr>
            <w:tcW w:type="dxa" w:w="8714"/>
            <w:vAlign w:val="center"/>
            <w:shd w:fill="F4F5F5"/>
          </w:tcPr>
          <w:p>
            <w:pPr>
              <w:spacing w:after="0" w:before="0" w:line="264" w:lineRule="auto"/>
            </w:pPr>
            <w:r>
              <w:rPr>
                <w:rFonts w:ascii="Arial" w:hAnsi="Arial"/>
                <w:color w:val="111111"/>
                <w:sz w:val="20"/>
              </w:rPr>
              <w:t>[Competence, accessibility and practical limits for data subjects]</w:t>
            </w:r>
          </w:p>
        </w:tc>
      </w:tr>
      <w:tr>
        <w:trPr>
          <w:cantSplit/>
        </w:trPr>
        <w:tc>
          <w:tcPr>
            <w:tcW w:type="dxa" w:w="5341"/>
            <w:vAlign w:val="center"/>
            <w:shd w:fill="FFFFFF"/>
          </w:tcPr>
          <w:p>
            <w:pPr>
              <w:spacing w:after="0" w:before="0" w:line="264" w:lineRule="auto"/>
            </w:pPr>
            <w:r>
              <w:rPr>
                <w:rFonts w:ascii="Arial" w:hAnsi="Arial"/>
                <w:color w:val="111111"/>
                <w:sz w:val="20"/>
              </w:rPr>
              <w:t>Are there secrecy, disclosure or key-access obligations?</w:t>
            </w:r>
          </w:p>
        </w:tc>
        <w:tc>
          <w:tcPr>
            <w:tcW w:type="dxa" w:w="8714"/>
            <w:vAlign w:val="center"/>
            <w:shd w:fill="FFFFFF"/>
          </w:tcPr>
          <w:p>
            <w:pPr>
              <w:spacing w:after="0" w:before="0" w:line="264" w:lineRule="auto"/>
            </w:pPr>
            <w:r>
              <w:rPr>
                <w:rFonts w:ascii="Arial" w:hAnsi="Arial"/>
                <w:color w:val="111111"/>
                <w:sz w:val="20"/>
              </w:rPr>
              <w:t>[Effect on notification, challenge and safeguards]</w:t>
            </w:r>
          </w:p>
        </w:tc>
      </w:tr>
      <w:tr>
        <w:trPr>
          <w:cantSplit/>
        </w:trPr>
        <w:tc>
          <w:tcPr>
            <w:tcW w:type="dxa" w:w="5341"/>
            <w:vAlign w:val="center"/>
            <w:shd w:fill="F4F5F5"/>
          </w:tcPr>
          <w:p>
            <w:pPr>
              <w:spacing w:after="0" w:before="0" w:line="264" w:lineRule="auto"/>
            </w:pPr>
            <w:r>
              <w:rPr>
                <w:rFonts w:ascii="Arial" w:hAnsi="Arial"/>
                <w:color w:val="111111"/>
                <w:sz w:val="20"/>
              </w:rPr>
              <w:t>What is known about actual practice?</w:t>
            </w:r>
          </w:p>
        </w:tc>
        <w:tc>
          <w:tcPr>
            <w:tcW w:type="dxa" w:w="8714"/>
            <w:vAlign w:val="center"/>
            <w:shd w:fill="F4F5F5"/>
          </w:tcPr>
          <w:p>
            <w:pPr>
              <w:spacing w:after="0" w:before="0" w:line="264" w:lineRule="auto"/>
            </w:pPr>
            <w:r>
              <w:rPr>
                <w:rFonts w:ascii="Arial" w:hAnsi="Arial"/>
                <w:color w:val="111111"/>
                <w:sz w:val="20"/>
              </w:rPr>
              <w:t>[Current reliable sources; identify importer statements separately]</w:t>
            </w:r>
          </w:p>
        </w:tc>
      </w:tr>
      <w:tr>
        <w:trPr>
          <w:cantSplit/>
        </w:trPr>
        <w:tc>
          <w:tcPr>
            <w:tcW w:type="dxa" w:w="5341"/>
            <w:vAlign w:val="center"/>
            <w:shd w:fill="FFFFFF"/>
          </w:tcPr>
          <w:p>
            <w:pPr>
              <w:spacing w:after="0" w:before="0" w:line="264" w:lineRule="auto"/>
            </w:pPr>
            <w:r>
              <w:rPr>
                <w:rFonts w:ascii="Arial" w:hAnsi="Arial"/>
                <w:color w:val="111111"/>
                <w:sz w:val="20"/>
              </w:rPr>
              <w:t>Which information is missing or conflicting?</w:t>
            </w:r>
          </w:p>
        </w:tc>
        <w:tc>
          <w:tcPr>
            <w:tcW w:type="dxa" w:w="8714"/>
            <w:vAlign w:val="center"/>
            <w:shd w:fill="FFFFFF"/>
          </w:tcPr>
          <w:p>
            <w:pPr>
              <w:spacing w:after="0" w:before="0" w:line="264" w:lineRule="auto"/>
            </w:pPr>
            <w:r>
              <w:rPr>
                <w:rFonts w:ascii="Arial" w:hAnsi="Arial"/>
                <w:color w:val="111111"/>
                <w:sz w:val="20"/>
              </w:rPr>
              <w:t>[Unresolved legal issue, contrary source, resolution route and consequence]</w:t>
            </w:r>
          </w:p>
        </w:tc>
      </w:tr>
      <w:tr>
        <w:trPr>
          <w:cantSplit/>
        </w:trPr>
        <w:tc>
          <w:tcPr>
            <w:tcW w:type="dxa" w:w="5341"/>
            <w:vAlign w:val="center"/>
            <w:shd w:fill="F4F5F5"/>
          </w:tcPr>
          <w:p>
            <w:pPr>
              <w:spacing w:after="0" w:before="0" w:line="264" w:lineRule="auto"/>
            </w:pPr>
            <w:r>
              <w:rPr>
                <w:rFonts w:ascii="Arial" w:hAnsi="Arial"/>
                <w:color w:val="111111"/>
                <w:sz w:val="20"/>
              </w:rPr>
              <w:t>Which obligation in the transfer instrument could be affected?</w:t>
            </w:r>
          </w:p>
        </w:tc>
        <w:tc>
          <w:tcPr>
            <w:tcW w:type="dxa" w:w="8714"/>
            <w:vAlign w:val="center"/>
            <w:shd w:fill="F4F5F5"/>
          </w:tcPr>
          <w:p>
            <w:pPr>
              <w:spacing w:after="0" w:before="0" w:line="264" w:lineRule="auto"/>
            </w:pPr>
            <w:r>
              <w:rPr>
                <w:rFonts w:ascii="Arial" w:hAnsi="Arial"/>
                <w:color w:val="111111"/>
                <w:sz w:val="20"/>
              </w:rPr>
              <w:t>[Specific clause/safeguard and connection to the flow]</w:t>
            </w:r>
          </w:p>
        </w:tc>
      </w:tr>
    </w:tbl>
    <w:p>
      <w:pPr>
        <w:spacing w:after="0" w:line="20" w:lineRule="exact"/>
      </w:pPr>
      <w:r>
        <w:rPr>
          <w:sz w:val="2"/>
        </w:rPr>
      </w:r>
    </w:p>
    <w:p>
      <w:pPr>
        <w:ind w:right="1800"/>
      </w:pPr>
      <w:r>
        <w:rPr>
          <w:rFonts w:ascii="Arial" w:hAnsi="Arial"/>
          <w:b/>
        </w:rPr>
        <w:t>Importer information about previous practice:</w:t>
      </w:r>
      <w:r>
        <w:rPr>
          <w:rFonts w:ascii="Arial" w:hAnsi="Arial"/>
        </w:rPr>
        <w:t xml:space="preserve"> [Nature and number of relevant requests, period, services covered, handling and available records]. A statement that no request has been received cannot carry the assessment alone. Where practical experience is considered, address Clause 14 and footnote 12 of the SCCs and include objective supporting evidence.</w:t>
      </w:r>
    </w:p>
    <w:p>
      <w:pPr>
        <w:ind w:right="1800"/>
      </w:pPr>
      <w:r>
        <w:rPr>
          <w:rFonts w:ascii="Arial" w:hAnsi="Arial"/>
          <w:b/>
        </w:rPr>
        <w:t>Combined legal/specialist assessment:</w:t>
      </w:r>
      <w:r>
        <w:rPr>
          <w:rFonts w:ascii="Arial" w:hAnsi="Arial"/>
        </w:rPr>
        <w:t xml:space="preserve"> [Which conclusion follows from which facts? What remaining uncertainty affects the decision? What additional information or expertise is needed?]</w:t>
      </w:r>
    </w:p>
    <w:p>
      <w:pPr>
        <w:pStyle w:val="Heading1"/>
      </w:pPr>
      <w:r>
        <w:rPr>
          <w:rFonts w:ascii="Arial" w:hAnsi="Arial"/>
          <w:color w:val="000000"/>
        </w:rPr>
        <w:t>5. Supplementary measures and actual protective effect</w:t>
      </w:r>
    </w:p>
    <w:p>
      <w:pPr>
        <w:ind w:right="1800"/>
      </w:pPr>
      <w:r>
        <w:rPr>
          <w:rFonts w:ascii="Arial" w:hAnsi="Arial"/>
        </w:rPr>
        <w:t>Connect every measure to a particular finding in section 4. Distinguish intended measures from measures that have been configured and verified. Do not treat organisational or contractual promises as a solution to a technical or legal access problem without assessing their effect.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092"/>
        <w:gridCol w:w="3795"/>
        <w:gridCol w:w="2951"/>
        <w:gridCol w:w="2108"/>
        <w:gridCol w:w="2108"/>
      </w:tblGrid>
      <w:tr>
        <w:trPr>
          <w:cantSplit/>
          <w:tblHeader w:val="true"/>
        </w:trPr>
        <w:tc>
          <w:tcPr>
            <w:tcW w:type="dxa" w:w="3092"/>
            <w:vAlign w:val="center"/>
            <w:shd w:fill="222222"/>
          </w:tcPr>
          <w:p>
            <w:pPr>
              <w:keepNext/>
              <w:spacing w:after="0" w:before="0" w:line="264" w:lineRule="auto"/>
            </w:pPr>
            <w:r>
              <w:rPr>
                <w:rFonts w:ascii="Arial" w:hAnsi="Arial"/>
                <w:b/>
                <w:color w:val="FFFFFF"/>
                <w:sz w:val="20"/>
              </w:rPr>
              <w:t>Measure / ID</w:t>
            </w:r>
          </w:p>
        </w:tc>
        <w:tc>
          <w:tcPr>
            <w:tcW w:type="dxa" w:w="3795"/>
            <w:vAlign w:val="center"/>
            <w:shd w:fill="222222"/>
          </w:tcPr>
          <w:p>
            <w:pPr>
              <w:keepNext/>
              <w:spacing w:after="0" w:before="0" w:line="264" w:lineRule="auto"/>
            </w:pPr>
            <w:r>
              <w:rPr>
                <w:rFonts w:ascii="Arial" w:hAnsi="Arial"/>
                <w:b/>
                <w:color w:val="FFFFFF"/>
                <w:sz w:val="20"/>
              </w:rPr>
              <w:t>Finding and flow addressed</w:t>
            </w:r>
          </w:p>
        </w:tc>
        <w:tc>
          <w:tcPr>
            <w:tcW w:type="dxa" w:w="2951"/>
            <w:vAlign w:val="center"/>
            <w:shd w:fill="222222"/>
          </w:tcPr>
          <w:p>
            <w:pPr>
              <w:keepNext/>
              <w:spacing w:after="0" w:before="0" w:line="264" w:lineRule="auto"/>
            </w:pPr>
            <w:r>
              <w:rPr>
                <w:rFonts w:ascii="Arial" w:hAnsi="Arial"/>
                <w:b/>
                <w:color w:val="FFFFFF"/>
                <w:sz w:val="20"/>
              </w:rPr>
              <w:t>Specific configuration / owner</w:t>
            </w:r>
          </w:p>
        </w:tc>
        <w:tc>
          <w:tcPr>
            <w:tcW w:type="dxa" w:w="2108"/>
            <w:vAlign w:val="center"/>
            <w:shd w:fill="222222"/>
          </w:tcPr>
          <w:p>
            <w:pPr>
              <w:keepNext/>
              <w:spacing w:after="0" w:before="0" w:line="264" w:lineRule="auto"/>
            </w:pPr>
            <w:r>
              <w:rPr>
                <w:rFonts w:ascii="Arial" w:hAnsi="Arial"/>
                <w:b/>
                <w:color w:val="FFFFFF"/>
                <w:sz w:val="20"/>
              </w:rPr>
              <w:t>Implementation status / evidence</w:t>
            </w:r>
          </w:p>
        </w:tc>
        <w:tc>
          <w:tcPr>
            <w:tcW w:type="dxa" w:w="2108"/>
            <w:vAlign w:val="center"/>
            <w:shd w:fill="222222"/>
          </w:tcPr>
          <w:p>
            <w:pPr>
              <w:keepNext/>
              <w:spacing w:after="0" w:before="0" w:line="264" w:lineRule="auto"/>
            </w:pPr>
            <w:r>
              <w:rPr>
                <w:rFonts w:ascii="Arial" w:hAnsi="Arial"/>
                <w:b/>
                <w:color w:val="FFFFFF"/>
                <w:sz w:val="20"/>
              </w:rPr>
              <w:t>Assessed effect and remaining limit</w:t>
            </w:r>
          </w:p>
        </w:tc>
      </w:tr>
      <w:tr>
        <w:trPr>
          <w:cantSplit/>
        </w:trPr>
        <w:tc>
          <w:tcPr>
            <w:tcW w:type="dxa" w:w="3092"/>
            <w:vAlign w:val="center"/>
            <w:shd w:fill="FFFFFF"/>
          </w:tcPr>
          <w:p>
            <w:pPr>
              <w:spacing w:after="0" w:before="0" w:line="264" w:lineRule="auto"/>
              <w:jc w:val="center"/>
            </w:pPr>
            <w:r>
              <w:rPr>
                <w:rFonts w:ascii="Arial" w:hAnsi="Arial"/>
                <w:color w:val="111111"/>
                <w:sz w:val="20"/>
              </w:rPr>
              <w:t>[complete]</w:t>
            </w:r>
          </w:p>
        </w:tc>
        <w:tc>
          <w:tcPr>
            <w:tcW w:type="dxa" w:w="3795"/>
            <w:vAlign w:val="center"/>
            <w:shd w:fill="FFFFFF"/>
          </w:tcPr>
          <w:p>
            <w:pPr>
              <w:spacing w:after="0" w:before="0" w:line="264" w:lineRule="auto"/>
              <w:jc w:val="center"/>
            </w:pPr>
            <w:r>
              <w:rPr>
                <w:rFonts w:ascii="Arial" w:hAnsi="Arial"/>
                <w:color w:val="111111"/>
                <w:sz w:val="20"/>
              </w:rPr>
              <w:t>[complete]</w:t>
            </w:r>
          </w:p>
        </w:tc>
        <w:tc>
          <w:tcPr>
            <w:tcW w:type="dxa" w:w="2951"/>
            <w:vAlign w:val="center"/>
            <w:shd w:fill="FFFFFF"/>
          </w:tcPr>
          <w:p>
            <w:pPr>
              <w:spacing w:after="0" w:before="0" w:line="264" w:lineRule="auto"/>
              <w:jc w:val="center"/>
            </w:pPr>
            <w:r>
              <w:rPr>
                <w:rFonts w:ascii="Arial" w:hAnsi="Arial"/>
                <w:color w:val="111111"/>
                <w:sz w:val="20"/>
              </w:rPr>
              <w:t>[complete]</w:t>
            </w:r>
          </w:p>
        </w:tc>
        <w:tc>
          <w:tcPr>
            <w:tcW w:type="dxa" w:w="2108"/>
            <w:vAlign w:val="center"/>
            <w:shd w:fill="FFFFFF"/>
          </w:tcPr>
          <w:p>
            <w:pPr>
              <w:spacing w:after="0" w:before="0" w:line="264" w:lineRule="auto"/>
            </w:pPr>
            <w:r>
              <w:rPr>
                <w:rFonts w:ascii="Arial" w:hAnsi="Arial"/>
                <w:color w:val="111111"/>
                <w:sz w:val="20"/>
              </w:rPr>
              <w:t>[Planned / configured / verified; date and evidence]</w:t>
            </w:r>
          </w:p>
        </w:tc>
        <w:tc>
          <w:tcPr>
            <w:tcW w:type="dxa" w:w="2108"/>
            <w:vAlign w:val="center"/>
            <w:shd w:fill="FFFFFF"/>
          </w:tcPr>
          <w:p>
            <w:pPr>
              <w:spacing w:after="0" w:before="0" w:line="264" w:lineRule="auto"/>
            </w:pPr>
            <w:r>
              <w:rPr>
                <w:rFonts w:ascii="Arial" w:hAnsi="Arial"/>
                <w:color w:val="111111"/>
                <w:sz w:val="20"/>
              </w:rPr>
              <w:t>[Complete with reasoning]</w:t>
            </w:r>
          </w:p>
        </w:tc>
      </w:tr>
    </w:tbl>
    <w:p>
      <w:pPr>
        <w:spacing w:after="0" w:line="20" w:lineRule="exact"/>
      </w:pPr>
      <w:r>
        <w:rPr>
          <w:sz w:val="2"/>
        </w:rPr>
      </w:r>
    </w:p>
    <w:p>
      <w:pPr>
        <w:pStyle w:val="Heading2"/>
      </w:pPr>
      <w:r>
        <w:rPr>
          <w:rFonts w:ascii="Arial" w:hAnsi="Arial"/>
          <w:color w:val="000000"/>
        </w:rPr>
        <w:t>Complete the key and plaintext assessment separately</w:t>
      </w:r>
    </w:p>
    <w:p>
      <w:pPr>
        <w:spacing w:after="100"/>
        <w:ind w:left="259" w:hanging="259" w:right="1800"/>
      </w:pPr>
      <w:r>
        <w:rPr>
          <w:rFonts w:ascii="Arial" w:hAnsi="Arial"/>
        </w:rPr>
        <w:t>- Where is data encrypted, decrypted and processed in plaintext? [Systems and processing steps].</w:t>
      </w:r>
    </w:p>
    <w:p>
      <w:pPr>
        <w:spacing w:after="100"/>
        <w:ind w:left="259" w:hanging="259" w:right="1800"/>
      </w:pPr>
      <w:r>
        <w:rPr>
          <w:rFonts w:ascii="Arial" w:hAnsi="Arial"/>
        </w:rPr>
        <w:t>- Who holds, administers or can obtain keys or decryption rights? [Entities, countries, administrators, emergency access and evidence].</w:t>
      </w:r>
    </w:p>
    <w:p>
      <w:pPr>
        <w:spacing w:after="100"/>
        <w:ind w:left="259" w:hanging="259" w:right="1800"/>
      </w:pPr>
      <w:r>
        <w:rPr>
          <w:rFonts w:ascii="Arial" w:hAnsi="Arial"/>
        </w:rPr>
        <w:t>- Can the importer or a further recipient read the data for its task? [Specific technical check].</w:t>
      </w:r>
    </w:p>
    <w:p>
      <w:pPr>
        <w:spacing w:after="100"/>
        <w:ind w:left="259" w:hanging="259" w:right="1800"/>
      </w:pPr>
      <w:r>
        <w:rPr>
          <w:rFonts w:ascii="Arial" w:hAnsi="Arial"/>
        </w:rPr>
        <w:t>- Which legal access powers from section 4 could reach the data or keys? [Finding ID and assessment].</w:t>
      </w:r>
    </w:p>
    <w:p>
      <w:pPr>
        <w:spacing w:after="100"/>
        <w:ind w:left="259" w:hanging="259" w:right="1800"/>
      </w:pPr>
      <w:r>
        <w:rPr>
          <w:rFonts w:ascii="Arial" w:hAnsi="Arial"/>
        </w:rPr>
        <w:t>- For pseudonymisation, who holds additional information and what re-identification remains possible using available means? [Design, test and assessment].</w:t>
      </w:r>
    </w:p>
    <w:p>
      <w:pPr>
        <w:spacing w:after="100"/>
        <w:ind w:left="259" w:hanging="259" w:right="1800"/>
      </w:pPr>
      <w:r>
        <w:rPr>
          <w:rFonts w:ascii="Arial" w:hAnsi="Arial"/>
        </w:rPr>
        <w:t>- For minimisation or anonymous/synthetic test data, which fields and side channels still contain personal data? [Include tickets, logs and screenshots].</w:t>
      </w:r>
    </w:p>
    <w:p>
      <w:pPr>
        <w:spacing w:after="100"/>
        <w:ind w:left="259" w:hanging="259" w:right="1800"/>
      </w:pPr>
      <w:r>
        <w:rPr>
          <w:rFonts w:ascii="Arial" w:hAnsi="Arial"/>
        </w:rPr>
        <w:t>- Which functional limits or workflow changes are necessary for the measure to work? [Specific restriction, owner and evidence].</w:t>
      </w:r>
    </w:p>
    <w:p>
      <w:pPr>
        <w:ind w:right="1800"/>
      </w:pPr>
      <w:r>
        <w:rPr>
          <w:rFonts w:ascii="Arial" w:hAnsi="Arial"/>
        </w:rPr>
        <w:t>Encryption in transit or at rest does not automatically protect against access to plaintext at the importer. EDPB Recommendations 01/2020 address, among other things, situations where an importer needs plaintext and problematic public-authority access rules apply. Assess the actual circumstances and justify effectiveness; do not equate “encrypted” with “adequately protected”.</w:t>
      </w:r>
    </w:p>
    <w:p>
      <w:pPr>
        <w:ind w:right="1800"/>
      </w:pPr>
      <w:r>
        <w:rPr>
          <w:rFonts w:ascii="Arial" w:hAnsi="Arial"/>
          <w:b/>
        </w:rPr>
        <w:t>Conclusion after measures:</w:t>
      </w:r>
      <w:r>
        <w:rPr>
          <w:rFonts w:ascii="Arial" w:hAnsi="Arial"/>
        </w:rPr>
        <w:t xml:space="preserve"> [Is the required protection ensured for the described scope by measures actually implemented? Give reasoning and evidence; if unresolved, identify what is missing before a decision can be made.]</w:t>
      </w:r>
    </w:p>
    <w:p>
      <w:pPr>
        <w:pStyle w:val="Heading1"/>
      </w:pPr>
      <w:r>
        <w:rPr>
          <w:rFonts w:ascii="Arial" w:hAnsi="Arial"/>
          <w:color w:val="000000"/>
        </w:rPr>
        <w:t>6. Implementation, checks and unresolved issues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092"/>
        <w:gridCol w:w="3795"/>
        <w:gridCol w:w="2951"/>
        <w:gridCol w:w="2108"/>
        <w:gridCol w:w="2108"/>
      </w:tblGrid>
      <w:tr>
        <w:trPr>
          <w:cantSplit/>
          <w:tblHeader w:val="true"/>
        </w:trPr>
        <w:tc>
          <w:tcPr>
            <w:tcW w:type="dxa" w:w="3092"/>
            <w:vAlign w:val="center"/>
            <w:shd w:fill="222222"/>
          </w:tcPr>
          <w:p>
            <w:pPr>
              <w:keepNext/>
              <w:spacing w:after="0" w:before="0" w:line="264" w:lineRule="auto"/>
            </w:pPr>
            <w:r>
              <w:rPr>
                <w:rFonts w:ascii="Arial" w:hAnsi="Arial"/>
                <w:b/>
                <w:color w:val="FFFFFF"/>
                <w:sz w:val="20"/>
              </w:rPr>
              <w:t>Item / ID</w:t>
            </w:r>
          </w:p>
        </w:tc>
        <w:tc>
          <w:tcPr>
            <w:tcW w:type="dxa" w:w="3795"/>
            <w:vAlign w:val="center"/>
            <w:shd w:fill="222222"/>
          </w:tcPr>
          <w:p>
            <w:pPr>
              <w:keepNext/>
              <w:spacing w:after="0" w:before="0" w:line="264" w:lineRule="auto"/>
            </w:pPr>
            <w:r>
              <w:rPr>
                <w:rFonts w:ascii="Arial" w:hAnsi="Arial"/>
                <w:b/>
                <w:color w:val="FFFFFF"/>
                <w:sz w:val="20"/>
              </w:rPr>
              <w:t>Required action and acceptance criterion</w:t>
            </w:r>
          </w:p>
        </w:tc>
        <w:tc>
          <w:tcPr>
            <w:tcW w:type="dxa" w:w="2951"/>
            <w:vAlign w:val="center"/>
            <w:shd w:fill="222222"/>
          </w:tcPr>
          <w:p>
            <w:pPr>
              <w:keepNext/>
              <w:spacing w:after="0" w:before="0" w:line="264" w:lineRule="auto"/>
            </w:pPr>
            <w:r>
              <w:rPr>
                <w:rFonts w:ascii="Arial" w:hAnsi="Arial"/>
                <w:b/>
                <w:color w:val="FFFFFF"/>
                <w:sz w:val="20"/>
              </w:rPr>
              <w:t>Owner / due date</w:t>
            </w:r>
          </w:p>
        </w:tc>
        <w:tc>
          <w:tcPr>
            <w:tcW w:type="dxa" w:w="2108"/>
            <w:vAlign w:val="center"/>
            <w:shd w:fill="222222"/>
          </w:tcPr>
          <w:p>
            <w:pPr>
              <w:keepNext/>
              <w:spacing w:after="0" w:before="0" w:line="264" w:lineRule="auto"/>
            </w:pPr>
            <w:r>
              <w:rPr>
                <w:rFonts w:ascii="Arial" w:hAnsi="Arial"/>
                <w:b/>
                <w:color w:val="FFFFFF"/>
                <w:sz w:val="20"/>
              </w:rPr>
              <w:t>Evidence / result</w:t>
            </w:r>
          </w:p>
        </w:tc>
        <w:tc>
          <w:tcPr>
            <w:tcW w:type="dxa" w:w="2108"/>
            <w:vAlign w:val="center"/>
            <w:shd w:fill="222222"/>
          </w:tcPr>
          <w:p>
            <w:pPr>
              <w:keepNext/>
              <w:spacing w:after="0" w:before="0" w:line="264" w:lineRule="auto"/>
            </w:pPr>
            <w:r>
              <w:rPr>
                <w:rFonts w:ascii="Arial" w:hAnsi="Arial"/>
                <w:b/>
                <w:color w:val="FFFFFF"/>
                <w:sz w:val="20"/>
              </w:rPr>
              <w:t>Consequence if unfinished</w:t>
            </w:r>
          </w:p>
        </w:tc>
      </w:tr>
      <w:tr>
        <w:trPr>
          <w:cantSplit/>
        </w:trPr>
        <w:tc>
          <w:tcPr>
            <w:tcW w:type="dxa" w:w="3092"/>
            <w:vAlign w:val="center"/>
            <w:shd w:fill="FFFFFF"/>
          </w:tcPr>
          <w:p>
            <w:pPr>
              <w:spacing w:after="0" w:before="0" w:line="264" w:lineRule="auto"/>
              <w:jc w:val="center"/>
            </w:pPr>
            <w:r>
              <w:rPr>
                <w:rFonts w:ascii="Arial" w:hAnsi="Arial"/>
                <w:color w:val="111111"/>
                <w:sz w:val="20"/>
              </w:rPr>
              <w:t>[complete]</w:t>
            </w:r>
          </w:p>
        </w:tc>
        <w:tc>
          <w:tcPr>
            <w:tcW w:type="dxa" w:w="3795"/>
            <w:vAlign w:val="center"/>
            <w:shd w:fill="FFFFFF"/>
          </w:tcPr>
          <w:p>
            <w:pPr>
              <w:spacing w:after="0" w:before="0" w:line="264" w:lineRule="auto"/>
              <w:jc w:val="center"/>
            </w:pPr>
            <w:r>
              <w:rPr>
                <w:rFonts w:ascii="Arial" w:hAnsi="Arial"/>
                <w:color w:val="111111"/>
                <w:sz w:val="20"/>
              </w:rPr>
              <w:t>[complete]</w:t>
            </w:r>
          </w:p>
        </w:tc>
        <w:tc>
          <w:tcPr>
            <w:tcW w:type="dxa" w:w="2951"/>
            <w:vAlign w:val="center"/>
            <w:shd w:fill="FFFFFF"/>
          </w:tcPr>
          <w:p>
            <w:pPr>
              <w:spacing w:after="0" w:before="0" w:line="264" w:lineRule="auto"/>
              <w:jc w:val="center"/>
            </w:pPr>
            <w:r>
              <w:rPr>
                <w:rFonts w:ascii="Arial" w:hAnsi="Arial"/>
                <w:color w:val="111111"/>
                <w:sz w:val="20"/>
              </w:rPr>
              <w:t>[complete]</w:t>
            </w:r>
          </w:p>
        </w:tc>
        <w:tc>
          <w:tcPr>
            <w:tcW w:type="dxa" w:w="2108"/>
            <w:vAlign w:val="center"/>
            <w:shd w:fill="FFFFFF"/>
          </w:tcPr>
          <w:p>
            <w:pPr>
              <w:spacing w:after="0" w:before="0" w:line="264" w:lineRule="auto"/>
              <w:jc w:val="center"/>
            </w:pPr>
            <w:r>
              <w:rPr>
                <w:rFonts w:ascii="Arial" w:hAnsi="Arial"/>
                <w:color w:val="111111"/>
                <w:sz w:val="20"/>
              </w:rPr>
              <w:t>[complete]</w:t>
            </w:r>
          </w:p>
        </w:tc>
        <w:tc>
          <w:tcPr>
            <w:tcW w:type="dxa" w:w="2108"/>
            <w:vAlign w:val="center"/>
            <w:shd w:fill="FFFFFF"/>
          </w:tcPr>
          <w:p>
            <w:pPr>
              <w:spacing w:after="0" w:before="0" w:line="264" w:lineRule="auto"/>
            </w:pPr>
            <w:r>
              <w:rPr>
                <w:rFonts w:ascii="Arial" w:hAnsi="Arial"/>
                <w:color w:val="111111"/>
                <w:sz w:val="20"/>
              </w:rPr>
              <w:t>[Affected flow, access or decision]</w:t>
            </w:r>
          </w:p>
        </w:tc>
      </w:tr>
    </w:tbl>
    <w:p>
      <w:pPr>
        <w:spacing w:after="0" w:line="20" w:lineRule="exact"/>
      </w:pPr>
      <w:r>
        <w:rPr>
          <w:sz w:val="2"/>
        </w:rPr>
      </w:r>
    </w:p>
    <w:p>
      <w:pPr>
        <w:ind w:right="1800"/>
      </w:pPr>
      <w:r>
        <w:rPr>
          <w:rFonts w:ascii="Arial" w:hAnsi="Arial"/>
        </w:rPr>
        <w:t>Check at least the following, where relevant to the flow:</w:t>
      </w:r>
    </w:p>
    <w:p>
      <w:pPr>
        <w:spacing w:after="100"/>
        <w:ind w:left="259" w:hanging="259" w:right="1800"/>
      </w:pPr>
      <w:r>
        <w:rPr>
          <w:rFonts w:ascii="Arial" w:hAnsi="Arial"/>
        </w:rPr>
        <w:t>- [ ] Contractual annexes and technical permissions describe the same state. Evidence: [complete].</w:t>
      </w:r>
    </w:p>
    <w:p>
      <w:pPr>
        <w:spacing w:after="100"/>
        <w:ind w:left="259" w:hanging="259" w:right="1800"/>
      </w:pPr>
      <w:r>
        <w:rPr>
          <w:rFonts w:ascii="Arial" w:hAnsi="Arial"/>
        </w:rPr>
        <w:t>- [ ] Agreed access restrictions and key responsibilities have been tested in practice. Evidence: [complete].</w:t>
      </w:r>
    </w:p>
    <w:p>
      <w:pPr>
        <w:spacing w:after="100"/>
        <w:ind w:left="259" w:hanging="259" w:right="1800"/>
      </w:pPr>
      <w:r>
        <w:rPr>
          <w:rFonts w:ascii="Arial" w:hAnsi="Arial"/>
        </w:rPr>
        <w:t>- [ ] Onward recipients, authorisations and change notifications are incorporated into the workflow. Evidence: [complete].</w:t>
      </w:r>
    </w:p>
    <w:p>
      <w:pPr>
        <w:spacing w:after="100"/>
        <w:ind w:left="259" w:hanging="259" w:right="1800"/>
      </w:pPr>
      <w:r>
        <w:rPr>
          <w:rFonts w:ascii="Arial" w:hAnsi="Arial"/>
        </w:rPr>
        <w:t>- [ ] Public-authority requests reach the correct functions; applicable notification/review duties can be carried out. Evidence: [complete].</w:t>
      </w:r>
    </w:p>
    <w:p>
      <w:pPr>
        <w:spacing w:after="100"/>
        <w:ind w:left="259" w:hanging="259" w:right="1800"/>
      </w:pPr>
      <w:r>
        <w:rPr>
          <w:rFonts w:ascii="Arial" w:hAnsi="Arial"/>
        </w:rPr>
        <w:t>- [ ] Suspension, access removal, return and deletion can be performed for the affected flow. Evidence: [complete].</w:t>
      </w:r>
    </w:p>
    <w:p>
      <w:pPr>
        <w:ind w:right="1800"/>
      </w:pPr>
      <w:r>
        <w:rPr>
          <w:rFonts w:ascii="Arial" w:hAnsi="Arial"/>
        </w:rPr>
        <w:t>A checked box records a check actually performed and evidenced. Replace an inapplicable item with a reason; do not mark unresolved checks as passed.</w:t>
      </w:r>
    </w:p>
    <w:p>
      <w:pPr>
        <w:pStyle w:val="Heading1"/>
      </w:pPr>
      <w:r>
        <w:rPr>
          <w:rFonts w:ascii="Arial" w:hAnsi="Arial"/>
          <w:color w:val="000000"/>
        </w:rPr>
        <w:t>7. Decision, escalation and stopping where necessary</w:t>
      </w:r>
    </w:p>
    <w:p>
      <w:pPr>
        <w:ind w:right="1800"/>
      </w:pPr>
      <w:r>
        <w:rPr>
          <w:rFonts w:ascii="Arial" w:hAnsi="Arial"/>
        </w:rPr>
        <w:t>The decision must refer to the same flow, contract and configuration versions as the assessment. Commercial benefit does not replace the required protection. A planned measure cannot provide the justification for a transfer already underway.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341"/>
        <w:gridCol w:w="8714"/>
      </w:tblGrid>
      <w:tr>
        <w:trPr>
          <w:cantSplit/>
          <w:tblHeader w:val="true"/>
        </w:trPr>
        <w:tc>
          <w:tcPr>
            <w:tcW w:type="dxa" w:w="5341"/>
            <w:vAlign w:val="center"/>
            <w:shd w:fill="222222"/>
          </w:tcPr>
          <w:p>
            <w:pPr>
              <w:keepNext/>
              <w:spacing w:after="0" w:before="0" w:line="264" w:lineRule="auto"/>
            </w:pPr>
            <w:r>
              <w:rPr>
                <w:rFonts w:ascii="Arial" w:hAnsi="Arial"/>
                <w:b/>
                <w:color w:val="FFFFFF"/>
                <w:sz w:val="20"/>
              </w:rPr>
              <w:t>Decision field</w:t>
            </w:r>
          </w:p>
        </w:tc>
        <w:tc>
          <w:tcPr>
            <w:tcW w:type="dxa" w:w="8714"/>
            <w:vAlign w:val="center"/>
            <w:shd w:fill="222222"/>
          </w:tcPr>
          <w:p>
            <w:pPr>
              <w:keepNext/>
              <w:spacing w:after="0" w:before="0" w:line="264" w:lineRule="auto"/>
            </w:pPr>
            <w:r>
              <w:rPr>
                <w:rFonts w:ascii="Arial" w:hAnsi="Arial"/>
                <w:b/>
                <w:color w:val="FFFFFF"/>
                <w:sz w:val="20"/>
              </w:rPr>
              <w:t>Entry</w:t>
            </w:r>
          </w:p>
        </w:tc>
      </w:tr>
      <w:tr>
        <w:trPr>
          <w:cantSplit/>
        </w:trPr>
        <w:tc>
          <w:tcPr>
            <w:tcW w:type="dxa" w:w="5341"/>
            <w:vAlign w:val="center"/>
            <w:shd w:fill="FFFFFF"/>
          </w:tcPr>
          <w:p>
            <w:pPr>
              <w:spacing w:after="0" w:before="0" w:line="264" w:lineRule="auto"/>
            </w:pPr>
            <w:r>
              <w:rPr>
                <w:rFonts w:ascii="Arial" w:hAnsi="Arial"/>
                <w:color w:val="111111"/>
                <w:sz w:val="20"/>
              </w:rPr>
              <w:t>Data flows and versions assessed</w:t>
            </w:r>
          </w:p>
        </w:tc>
        <w:tc>
          <w:tcPr>
            <w:tcW w:type="dxa" w:w="8714"/>
            <w:vAlign w:val="center"/>
            <w:shd w:fill="FFFFFF"/>
          </w:tcPr>
          <w:p>
            <w:pPr>
              <w:spacing w:after="0" w:before="0" w:line="264" w:lineRule="auto"/>
            </w:pPr>
            <w:r>
              <w:rPr>
                <w:rFonts w:ascii="Arial" w:hAnsi="Arial"/>
                <w:color w:val="111111"/>
                <w:sz w:val="20"/>
              </w:rPr>
              <w:t>[complete]</w:t>
            </w:r>
          </w:p>
        </w:tc>
      </w:tr>
      <w:tr>
        <w:trPr>
          <w:cantSplit/>
        </w:trPr>
        <w:tc>
          <w:tcPr>
            <w:tcW w:type="dxa" w:w="5341"/>
            <w:vAlign w:val="center"/>
            <w:shd w:fill="F4F5F5"/>
          </w:tcPr>
          <w:p>
            <w:pPr>
              <w:spacing w:after="0" w:before="0" w:line="264" w:lineRule="auto"/>
            </w:pPr>
            <w:r>
              <w:rPr>
                <w:rFonts w:ascii="Arial" w:hAnsi="Arial"/>
                <w:color w:val="111111"/>
                <w:sz w:val="20"/>
              </w:rPr>
              <w:t>Chosen basis and its verified scope</w:t>
            </w:r>
          </w:p>
        </w:tc>
        <w:tc>
          <w:tcPr>
            <w:tcW w:type="dxa" w:w="8714"/>
            <w:vAlign w:val="center"/>
            <w:shd w:fill="F4F5F5"/>
          </w:tcPr>
          <w:p>
            <w:pPr>
              <w:spacing w:after="0" w:before="0" w:line="264" w:lineRule="auto"/>
            </w:pPr>
            <w:r>
              <w:rPr>
                <w:rFonts w:ascii="Arial" w:hAnsi="Arial"/>
                <w:color w:val="111111"/>
                <w:sz w:val="20"/>
              </w:rPr>
              <w:t>[complete]</w:t>
            </w:r>
          </w:p>
        </w:tc>
      </w:tr>
      <w:tr>
        <w:trPr>
          <w:cantSplit/>
        </w:trPr>
        <w:tc>
          <w:tcPr>
            <w:tcW w:type="dxa" w:w="5341"/>
            <w:vAlign w:val="center"/>
            <w:shd w:fill="FFFFFF"/>
          </w:tcPr>
          <w:p>
            <w:pPr>
              <w:spacing w:after="0" w:before="0" w:line="264" w:lineRule="auto"/>
            </w:pPr>
            <w:r>
              <w:rPr>
                <w:rFonts w:ascii="Arial" w:hAnsi="Arial"/>
                <w:color w:val="111111"/>
                <w:sz w:val="20"/>
              </w:rPr>
              <w:t>Sources, measures and evidence supporting the conclusion</w:t>
            </w:r>
          </w:p>
        </w:tc>
        <w:tc>
          <w:tcPr>
            <w:tcW w:type="dxa" w:w="8714"/>
            <w:vAlign w:val="center"/>
            <w:shd w:fill="FFFFFF"/>
          </w:tcPr>
          <w:p>
            <w:pPr>
              <w:spacing w:after="0" w:before="0" w:line="264" w:lineRule="auto"/>
            </w:pPr>
            <w:r>
              <w:rPr>
                <w:rFonts w:ascii="Arial" w:hAnsi="Arial"/>
                <w:color w:val="111111"/>
                <w:sz w:val="20"/>
              </w:rPr>
              <w:t>[Identifiers and specific conclusion]</w:t>
            </w:r>
          </w:p>
        </w:tc>
      </w:tr>
      <w:tr>
        <w:trPr>
          <w:cantSplit/>
        </w:trPr>
        <w:tc>
          <w:tcPr>
            <w:tcW w:type="dxa" w:w="5341"/>
            <w:vAlign w:val="center"/>
            <w:shd w:fill="F4F5F5"/>
          </w:tcPr>
          <w:p>
            <w:pPr>
              <w:spacing w:after="0" w:before="0" w:line="264" w:lineRule="auto"/>
            </w:pPr>
            <w:r>
              <w:rPr>
                <w:rFonts w:ascii="Arial" w:hAnsi="Arial"/>
                <w:color w:val="111111"/>
                <w:sz w:val="20"/>
              </w:rPr>
              <w:t>Reasoned result</w:t>
            </w:r>
          </w:p>
        </w:tc>
        <w:tc>
          <w:tcPr>
            <w:tcW w:type="dxa" w:w="8714"/>
            <w:vAlign w:val="center"/>
            <w:shd w:fill="F4F5F5"/>
          </w:tcPr>
          <w:p>
            <w:pPr>
              <w:spacing w:after="0" w:before="0" w:line="264" w:lineRule="auto"/>
            </w:pPr>
            <w:r>
              <w:rPr>
                <w:rFonts w:ascii="Arial" w:hAnsi="Arial"/>
                <w:color w:val="111111"/>
                <w:sz w:val="20"/>
              </w:rPr>
              <w:t>[Complete; no positive assessment is preset]</w:t>
            </w:r>
          </w:p>
        </w:tc>
      </w:tr>
      <w:tr>
        <w:trPr>
          <w:cantSplit/>
        </w:trPr>
        <w:tc>
          <w:tcPr>
            <w:tcW w:type="dxa" w:w="5341"/>
            <w:vAlign w:val="center"/>
            <w:shd w:fill="FFFFFF"/>
          </w:tcPr>
          <w:p>
            <w:pPr>
              <w:spacing w:after="0" w:before="0" w:line="264" w:lineRule="auto"/>
            </w:pPr>
            <w:r>
              <w:rPr>
                <w:rFonts w:ascii="Arial" w:hAnsi="Arial"/>
                <w:color w:val="111111"/>
                <w:sz w:val="20"/>
              </w:rPr>
              <w:t>Flows not covered / remaining restrictions</w:t>
            </w:r>
          </w:p>
        </w:tc>
        <w:tc>
          <w:tcPr>
            <w:tcW w:type="dxa" w:w="8714"/>
            <w:vAlign w:val="center"/>
            <w:shd w:fill="FFFFFF"/>
          </w:tcPr>
          <w:p>
            <w:pPr>
              <w:spacing w:after="0" w:before="0" w:line="264" w:lineRule="auto"/>
            </w:pPr>
            <w:r>
              <w:rPr>
                <w:rFonts w:ascii="Arial" w:hAnsi="Arial"/>
                <w:color w:val="111111"/>
                <w:sz w:val="20"/>
              </w:rPr>
              <w:t>[complete]</w:t>
            </w:r>
          </w:p>
        </w:tc>
      </w:tr>
      <w:tr>
        <w:trPr>
          <w:cantSplit/>
        </w:trPr>
        <w:tc>
          <w:tcPr>
            <w:tcW w:type="dxa" w:w="5341"/>
            <w:vAlign w:val="center"/>
            <w:shd w:fill="F4F5F5"/>
          </w:tcPr>
          <w:p>
            <w:pPr>
              <w:spacing w:after="0" w:before="0" w:line="264" w:lineRule="auto"/>
            </w:pPr>
            <w:r>
              <w:rPr>
                <w:rFonts w:ascii="Arial" w:hAnsi="Arial"/>
                <w:color w:val="111111"/>
                <w:sz w:val="20"/>
              </w:rPr>
              <w:t>Authorised decision-maker, name/role and date</w:t>
            </w:r>
          </w:p>
        </w:tc>
        <w:tc>
          <w:tcPr>
            <w:tcW w:type="dxa" w:w="8714"/>
            <w:vAlign w:val="center"/>
            <w:shd w:fill="F4F5F5"/>
          </w:tcPr>
          <w:p>
            <w:pPr>
              <w:spacing w:after="0" w:before="0" w:line="264" w:lineRule="auto"/>
            </w:pPr>
            <w:r>
              <w:rPr>
                <w:rFonts w:ascii="Arial" w:hAnsi="Arial"/>
                <w:color w:val="111111"/>
                <w:sz w:val="20"/>
              </w:rPr>
              <w:t>[complete]</w:t>
            </w:r>
          </w:p>
        </w:tc>
      </w:tr>
      <w:tr>
        <w:trPr>
          <w:cantSplit/>
        </w:trPr>
        <w:tc>
          <w:tcPr>
            <w:tcW w:type="dxa" w:w="5341"/>
            <w:vAlign w:val="center"/>
            <w:shd w:fill="FFFFFF"/>
          </w:tcPr>
          <w:p>
            <w:pPr>
              <w:spacing w:after="0" w:before="0" w:line="264" w:lineRule="auto"/>
            </w:pPr>
            <w:r>
              <w:rPr>
                <w:rFonts w:ascii="Arial" w:hAnsi="Arial"/>
                <w:color w:val="111111"/>
                <w:sz w:val="20"/>
              </w:rPr>
              <w:t>Participating specialist/legal and technical reviewers, actual contribution and date</w:t>
            </w:r>
          </w:p>
        </w:tc>
        <w:tc>
          <w:tcPr>
            <w:tcW w:type="dxa" w:w="8714"/>
            <w:vAlign w:val="center"/>
            <w:shd w:fill="FFFFFF"/>
          </w:tcPr>
          <w:p>
            <w:pPr>
              <w:spacing w:after="0" w:before="0" w:line="264" w:lineRule="auto"/>
            </w:pPr>
            <w:r>
              <w:rPr>
                <w:rFonts w:ascii="Arial" w:hAnsi="Arial"/>
                <w:color w:val="111111"/>
                <w:sz w:val="20"/>
              </w:rPr>
              <w:t>[Complete; do not assert a review that did not take place]</w:t>
            </w:r>
          </w:p>
        </w:tc>
      </w:tr>
    </w:tbl>
    <w:p>
      <w:pPr>
        <w:spacing w:after="0" w:line="20" w:lineRule="exact"/>
      </w:pPr>
      <w:r>
        <w:rPr>
          <w:sz w:val="2"/>
        </w:rPr>
      </w:r>
    </w:p>
    <w:p>
      <w:pPr>
        <w:ind w:right="1800"/>
      </w:pPr>
      <w:r>
        <w:rPr>
          <w:rFonts w:ascii="Arial" w:hAnsi="Arial"/>
          <w:b/>
        </w:rPr>
        <w:t>Chosen action and reasoning:</w:t>
      </w:r>
      <w:r>
        <w:rPr>
          <w:rFonts w:ascii="Arial" w:hAnsi="Arial"/>
        </w:rPr>
        <w:t xml:space="preserve"> [Describe the applicable position: assessment of the Article 45/49 case completed; the specified Article 46 transfer can proceed with evidenced safeguards; do not start while prerequisites remain unresolved; suspend a continuing transfer; end the transfer or change the architecture]. No option is preselected.</w:t>
      </w:r>
    </w:p>
    <w:p>
      <w:pPr>
        <w:ind w:right="1800"/>
      </w:pPr>
      <w:r>
        <w:rPr>
          <w:rFonts w:ascii="Arial" w:hAnsi="Arial"/>
          <w:b/>
        </w:rPr>
        <w:t>Where unresolved or protection is not ensured:</w:t>
      </w:r>
    </w:p>
    <w:p>
      <w:pPr>
        <w:spacing w:after="100"/>
        <w:ind w:left="259" w:hanging="259" w:right="1800"/>
      </w:pPr>
      <w:r>
        <w:rPr>
          <w:rFonts w:ascii="Arial" w:hAnsi="Arial"/>
        </w:rPr>
        <w:t>- Affected flow and immediately available access restriction: [complete].</w:t>
      </w:r>
    </w:p>
    <w:p>
      <w:pPr>
        <w:spacing w:after="100"/>
        <w:ind w:left="259" w:hanging="259" w:right="1800"/>
      </w:pPr>
      <w:r>
        <w:rPr>
          <w:rFonts w:ascii="Arial" w:hAnsi="Arial"/>
        </w:rPr>
        <w:t>- Person responsible for implementation and timing: [complete].</w:t>
      </w:r>
    </w:p>
    <w:p>
      <w:pPr>
        <w:spacing w:after="100"/>
        <w:ind w:left="259" w:hanging="259" w:right="1800"/>
      </w:pPr>
      <w:r>
        <w:rPr>
          <w:rFonts w:ascii="Arial" w:hAnsi="Arial"/>
        </w:rPr>
        <w:t>- Contract/data-protection functions to inform and applicable notification duties: [complete].</w:t>
      </w:r>
    </w:p>
    <w:p>
      <w:pPr>
        <w:spacing w:after="100"/>
        <w:ind w:left="259" w:hanging="259" w:right="1800"/>
      </w:pPr>
      <w:r>
        <w:rPr>
          <w:rFonts w:ascii="Arial" w:hAnsi="Arial"/>
        </w:rPr>
        <w:t>- Evidence required before resumption and authorised decision-maker: [complete].</w:t>
      </w:r>
    </w:p>
    <w:p>
      <w:pPr>
        <w:spacing w:after="100"/>
        <w:ind w:left="259" w:hanging="259" w:right="1800"/>
      </w:pPr>
      <w:r>
        <w:rPr>
          <w:rFonts w:ascii="Arial" w:hAnsi="Arial"/>
        </w:rPr>
        <w:t>- If ending: return/deletion, copies, evidence and further duties under the applicable instrument: [complete].</w:t>
      </w:r>
    </w:p>
    <w:p>
      <w:pPr>
        <w:ind w:right="1800"/>
      </w:pPr>
      <w:r>
        <w:rPr>
          <w:rFonts w:ascii="Arial" w:hAnsi="Arial"/>
        </w:rPr>
        <w:t>For the 2021/914 SCCs, address particularly Clauses 14–16 as applicable to the selected module. If the required protection cannot be ensured, the affected transfer must not begin or must be suspended.</w:t>
      </w:r>
    </w:p>
    <w:p>
      <w:pPr>
        <w:pStyle w:val="Heading1"/>
      </w:pPr>
      <w:r>
        <w:rPr>
          <w:rFonts w:ascii="Arial" w:hAnsi="Arial"/>
          <w:color w:val="000000"/>
        </w:rPr>
        <w:t>8. Monitoring and reassessment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622"/>
        <w:gridCol w:w="2811"/>
        <w:gridCol w:w="2811"/>
        <w:gridCol w:w="2811"/>
      </w:tblGrid>
      <w:tr>
        <w:trPr>
          <w:cantSplit/>
          <w:tblHeader w:val="true"/>
        </w:trPr>
        <w:tc>
          <w:tcPr>
            <w:tcW w:type="dxa" w:w="5622"/>
            <w:vAlign w:val="center"/>
            <w:shd w:fill="222222"/>
          </w:tcPr>
          <w:p>
            <w:pPr>
              <w:keepNext/>
              <w:spacing w:after="0" w:before="0" w:line="264" w:lineRule="auto"/>
            </w:pPr>
            <w:r>
              <w:rPr>
                <w:rFonts w:ascii="Arial" w:hAnsi="Arial"/>
                <w:b/>
                <w:color w:val="FFFFFF"/>
                <w:sz w:val="20"/>
              </w:rPr>
              <w:t>Trigger</w:t>
            </w:r>
          </w:p>
        </w:tc>
        <w:tc>
          <w:tcPr>
            <w:tcW w:type="dxa" w:w="2811"/>
            <w:vAlign w:val="center"/>
            <w:shd w:fill="222222"/>
          </w:tcPr>
          <w:p>
            <w:pPr>
              <w:keepNext/>
              <w:spacing w:after="0" w:before="0" w:line="264" w:lineRule="auto"/>
            </w:pPr>
            <w:r>
              <w:rPr>
                <w:rFonts w:ascii="Arial" w:hAnsi="Arial"/>
                <w:b/>
                <w:color w:val="FFFFFF"/>
                <w:sz w:val="20"/>
              </w:rPr>
              <w:t>How will it be detected?</w:t>
            </w:r>
          </w:p>
        </w:tc>
        <w:tc>
          <w:tcPr>
            <w:tcW w:type="dxa" w:w="2811"/>
            <w:vAlign w:val="center"/>
            <w:shd w:fill="222222"/>
          </w:tcPr>
          <w:p>
            <w:pPr>
              <w:keepNext/>
              <w:spacing w:after="0" w:before="0" w:line="264" w:lineRule="auto"/>
            </w:pPr>
            <w:r>
              <w:rPr>
                <w:rFonts w:ascii="Arial" w:hAnsi="Arial"/>
                <w:b/>
                <w:color w:val="FFFFFF"/>
                <w:sz w:val="20"/>
              </w:rPr>
              <w:t>Owner / notification</w:t>
            </w:r>
          </w:p>
        </w:tc>
        <w:tc>
          <w:tcPr>
            <w:tcW w:type="dxa" w:w="2811"/>
            <w:vAlign w:val="center"/>
            <w:shd w:fill="222222"/>
          </w:tcPr>
          <w:p>
            <w:pPr>
              <w:keepNext/>
              <w:spacing w:after="0" w:before="0" w:line="264" w:lineRule="auto"/>
            </w:pPr>
            <w:r>
              <w:rPr>
                <w:rFonts w:ascii="Arial" w:hAnsi="Arial"/>
                <w:b/>
                <w:color w:val="FFFFFF"/>
                <w:sz w:val="20"/>
              </w:rPr>
              <w:t>Assessment required before change or continuation</w:t>
            </w:r>
          </w:p>
        </w:tc>
      </w:tr>
      <w:tr>
        <w:trPr>
          <w:cantSplit/>
        </w:trPr>
        <w:tc>
          <w:tcPr>
            <w:tcW w:type="dxa" w:w="5622"/>
            <w:vAlign w:val="center"/>
            <w:shd w:fill="FFFFFF"/>
          </w:tcPr>
          <w:p>
            <w:pPr>
              <w:spacing w:after="0" w:before="0" w:line="264" w:lineRule="auto"/>
            </w:pPr>
            <w:r>
              <w:rPr>
                <w:rFonts w:ascii="Arial" w:hAnsi="Arial"/>
                <w:color w:val="111111"/>
                <w:sz w:val="20"/>
              </w:rPr>
              <w:t>New recipient or sub-processor</w:t>
            </w:r>
          </w:p>
        </w:tc>
        <w:tc>
          <w:tcPr>
            <w:tcW w:type="dxa" w:w="2811"/>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r>
      <w:tr>
        <w:trPr>
          <w:cantSplit/>
        </w:trPr>
        <w:tc>
          <w:tcPr>
            <w:tcW w:type="dxa" w:w="5622"/>
            <w:vAlign w:val="center"/>
            <w:shd w:fill="F4F5F5"/>
          </w:tcPr>
          <w:p>
            <w:pPr>
              <w:spacing w:after="0" w:before="0" w:line="264" w:lineRule="auto"/>
            </w:pPr>
            <w:r>
              <w:rPr>
                <w:rFonts w:ascii="Arial" w:hAnsi="Arial"/>
                <w:color w:val="111111"/>
                <w:sz w:val="20"/>
              </w:rPr>
              <w:t>New storage or access country</w:t>
            </w:r>
          </w:p>
        </w:tc>
        <w:tc>
          <w:tcPr>
            <w:tcW w:type="dxa" w:w="2811"/>
            <w:vAlign w:val="center"/>
            <w:shd w:fill="F4F5F5"/>
          </w:tcPr>
          <w:p>
            <w:pPr>
              <w:spacing w:after="0" w:before="0" w:line="264" w:lineRule="auto"/>
              <w:jc w:val="center"/>
            </w:pPr>
            <w:r>
              <w:rPr>
                <w:rFonts w:ascii="Arial" w:hAnsi="Arial"/>
                <w:color w:val="111111"/>
                <w:sz w:val="20"/>
              </w:rPr>
              <w:t>[complete]</w:t>
            </w:r>
          </w:p>
        </w:tc>
        <w:tc>
          <w:tcPr>
            <w:tcW w:type="dxa" w:w="2811"/>
            <w:vAlign w:val="center"/>
            <w:shd w:fill="F4F5F5"/>
          </w:tcPr>
          <w:p>
            <w:pPr>
              <w:spacing w:after="0" w:before="0" w:line="264" w:lineRule="auto"/>
              <w:jc w:val="center"/>
            </w:pPr>
            <w:r>
              <w:rPr>
                <w:rFonts w:ascii="Arial" w:hAnsi="Arial"/>
                <w:color w:val="111111"/>
                <w:sz w:val="20"/>
              </w:rPr>
              <w:t>[complete]</w:t>
            </w:r>
          </w:p>
        </w:tc>
        <w:tc>
          <w:tcPr>
            <w:tcW w:type="dxa" w:w="2811"/>
            <w:vAlign w:val="center"/>
            <w:shd w:fill="F4F5F5"/>
          </w:tcPr>
          <w:p>
            <w:pPr>
              <w:spacing w:after="0" w:before="0" w:line="264" w:lineRule="auto"/>
              <w:jc w:val="center"/>
            </w:pPr>
            <w:r>
              <w:rPr>
                <w:rFonts w:ascii="Arial" w:hAnsi="Arial"/>
                <w:color w:val="111111"/>
                <w:sz w:val="20"/>
              </w:rPr>
              <w:t>[complete]</w:t>
            </w:r>
          </w:p>
        </w:tc>
      </w:tr>
      <w:tr>
        <w:trPr>
          <w:cantSplit/>
        </w:trPr>
        <w:tc>
          <w:tcPr>
            <w:tcW w:type="dxa" w:w="5622"/>
            <w:vAlign w:val="center"/>
            <w:shd w:fill="FFFFFF"/>
          </w:tcPr>
          <w:p>
            <w:pPr>
              <w:spacing w:after="0" w:before="0" w:line="264" w:lineRule="auto"/>
            </w:pPr>
            <w:r>
              <w:rPr>
                <w:rFonts w:ascii="Arial" w:hAnsi="Arial"/>
                <w:color w:val="111111"/>
                <w:sz w:val="20"/>
              </w:rPr>
              <w:t>Changed data category, use or volume</w:t>
            </w:r>
          </w:p>
        </w:tc>
        <w:tc>
          <w:tcPr>
            <w:tcW w:type="dxa" w:w="2811"/>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r>
      <w:tr>
        <w:trPr>
          <w:cantSplit/>
        </w:trPr>
        <w:tc>
          <w:tcPr>
            <w:tcW w:type="dxa" w:w="5622"/>
            <w:vAlign w:val="center"/>
            <w:shd w:fill="F4F5F5"/>
          </w:tcPr>
          <w:p>
            <w:pPr>
              <w:spacing w:after="0" w:before="0" w:line="264" w:lineRule="auto"/>
            </w:pPr>
            <w:r>
              <w:rPr>
                <w:rFonts w:ascii="Arial" w:hAnsi="Arial"/>
                <w:color w:val="111111"/>
                <w:sz w:val="20"/>
              </w:rPr>
              <w:t>Different key control, permissions or architecture</w:t>
            </w:r>
          </w:p>
        </w:tc>
        <w:tc>
          <w:tcPr>
            <w:tcW w:type="dxa" w:w="2811"/>
            <w:vAlign w:val="center"/>
            <w:shd w:fill="F4F5F5"/>
          </w:tcPr>
          <w:p>
            <w:pPr>
              <w:spacing w:after="0" w:before="0" w:line="264" w:lineRule="auto"/>
              <w:jc w:val="center"/>
            </w:pPr>
            <w:r>
              <w:rPr>
                <w:rFonts w:ascii="Arial" w:hAnsi="Arial"/>
                <w:color w:val="111111"/>
                <w:sz w:val="20"/>
              </w:rPr>
              <w:t>[complete]</w:t>
            </w:r>
          </w:p>
        </w:tc>
        <w:tc>
          <w:tcPr>
            <w:tcW w:type="dxa" w:w="2811"/>
            <w:vAlign w:val="center"/>
            <w:shd w:fill="F4F5F5"/>
          </w:tcPr>
          <w:p>
            <w:pPr>
              <w:spacing w:after="0" w:before="0" w:line="264" w:lineRule="auto"/>
              <w:jc w:val="center"/>
            </w:pPr>
            <w:r>
              <w:rPr>
                <w:rFonts w:ascii="Arial" w:hAnsi="Arial"/>
                <w:color w:val="111111"/>
                <w:sz w:val="20"/>
              </w:rPr>
              <w:t>[complete]</w:t>
            </w:r>
          </w:p>
        </w:tc>
        <w:tc>
          <w:tcPr>
            <w:tcW w:type="dxa" w:w="2811"/>
            <w:vAlign w:val="center"/>
            <w:shd w:fill="F4F5F5"/>
          </w:tcPr>
          <w:p>
            <w:pPr>
              <w:spacing w:after="0" w:before="0" w:line="264" w:lineRule="auto"/>
              <w:jc w:val="center"/>
            </w:pPr>
            <w:r>
              <w:rPr>
                <w:rFonts w:ascii="Arial" w:hAnsi="Arial"/>
                <w:color w:val="111111"/>
                <w:sz w:val="20"/>
              </w:rPr>
              <w:t>[complete]</w:t>
            </w:r>
          </w:p>
        </w:tc>
      </w:tr>
      <w:tr>
        <w:trPr>
          <w:cantSplit/>
        </w:trPr>
        <w:tc>
          <w:tcPr>
            <w:tcW w:type="dxa" w:w="5622"/>
            <w:vAlign w:val="center"/>
            <w:shd w:fill="FFFFFF"/>
          </w:tcPr>
          <w:p>
            <w:pPr>
              <w:spacing w:after="0" w:before="0" w:line="264" w:lineRule="auto"/>
            </w:pPr>
            <w:r>
              <w:rPr>
                <w:rFonts w:ascii="Arial" w:hAnsi="Arial"/>
                <w:color w:val="111111"/>
                <w:sz w:val="20"/>
              </w:rPr>
              <w:t>Change to applicable law, case law, practice or transfer instrument</w:t>
            </w:r>
          </w:p>
        </w:tc>
        <w:tc>
          <w:tcPr>
            <w:tcW w:type="dxa" w:w="2811"/>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r>
      <w:tr>
        <w:trPr>
          <w:cantSplit/>
        </w:trPr>
        <w:tc>
          <w:tcPr>
            <w:tcW w:type="dxa" w:w="5622"/>
            <w:vAlign w:val="center"/>
            <w:shd w:fill="F4F5F5"/>
          </w:tcPr>
          <w:p>
            <w:pPr>
              <w:spacing w:after="0" w:before="0" w:line="264" w:lineRule="auto"/>
            </w:pPr>
            <w:r>
              <w:rPr>
                <w:rFonts w:ascii="Arial" w:hAnsi="Arial"/>
                <w:color w:val="111111"/>
                <w:sz w:val="20"/>
              </w:rPr>
              <w:t>Public-authority request, security incident or indication of inability to comply</w:t>
            </w:r>
          </w:p>
        </w:tc>
        <w:tc>
          <w:tcPr>
            <w:tcW w:type="dxa" w:w="2811"/>
            <w:vAlign w:val="center"/>
            <w:shd w:fill="F4F5F5"/>
          </w:tcPr>
          <w:p>
            <w:pPr>
              <w:spacing w:after="0" w:before="0" w:line="264" w:lineRule="auto"/>
              <w:jc w:val="center"/>
            </w:pPr>
            <w:r>
              <w:rPr>
                <w:rFonts w:ascii="Arial" w:hAnsi="Arial"/>
                <w:color w:val="111111"/>
                <w:sz w:val="20"/>
              </w:rPr>
              <w:t>[complete]</w:t>
            </w:r>
          </w:p>
        </w:tc>
        <w:tc>
          <w:tcPr>
            <w:tcW w:type="dxa" w:w="2811"/>
            <w:vAlign w:val="center"/>
            <w:shd w:fill="F4F5F5"/>
          </w:tcPr>
          <w:p>
            <w:pPr>
              <w:spacing w:after="0" w:before="0" w:line="264" w:lineRule="auto"/>
              <w:jc w:val="center"/>
            </w:pPr>
            <w:r>
              <w:rPr>
                <w:rFonts w:ascii="Arial" w:hAnsi="Arial"/>
                <w:color w:val="111111"/>
                <w:sz w:val="20"/>
              </w:rPr>
              <w:t>[complete]</w:t>
            </w:r>
          </w:p>
        </w:tc>
        <w:tc>
          <w:tcPr>
            <w:tcW w:type="dxa" w:w="2811"/>
            <w:vAlign w:val="center"/>
            <w:shd w:fill="F4F5F5"/>
          </w:tcPr>
          <w:p>
            <w:pPr>
              <w:spacing w:after="0" w:before="0" w:line="264" w:lineRule="auto"/>
              <w:jc w:val="center"/>
            </w:pPr>
            <w:r>
              <w:rPr>
                <w:rFonts w:ascii="Arial" w:hAnsi="Arial"/>
                <w:color w:val="111111"/>
                <w:sz w:val="20"/>
              </w:rPr>
              <w:t>[complete]</w:t>
            </w:r>
          </w:p>
        </w:tc>
      </w:tr>
      <w:tr>
        <w:trPr>
          <w:cantSplit/>
        </w:trPr>
        <w:tc>
          <w:tcPr>
            <w:tcW w:type="dxa" w:w="5622"/>
            <w:vAlign w:val="center"/>
            <w:shd w:fill="FFFFFF"/>
          </w:tcPr>
          <w:p>
            <w:pPr>
              <w:spacing w:after="0" w:before="0" w:line="264" w:lineRule="auto"/>
            </w:pPr>
            <w:r>
              <w:rPr>
                <w:rFonts w:ascii="Arial" w:hAnsi="Arial"/>
                <w:color w:val="111111"/>
                <w:sz w:val="20"/>
              </w:rPr>
              <w:t>Scheduled review date reached</w:t>
            </w:r>
          </w:p>
        </w:tc>
        <w:tc>
          <w:tcPr>
            <w:tcW w:type="dxa" w:w="2811"/>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r>
    </w:tbl>
    <w:p>
      <w:pPr>
        <w:spacing w:after="0" w:line="20" w:lineRule="exact"/>
      </w:pPr>
      <w:r>
        <w:rPr>
          <w:sz w:val="2"/>
        </w:rPr>
      </w:r>
    </w:p>
    <w:p>
      <w:pPr>
        <w:ind w:right="1800"/>
      </w:pPr>
      <w:r>
        <w:rPr>
          <w:rFonts w:ascii="Arial" w:hAnsi="Arial"/>
          <w:b/>
        </w:rPr>
        <w:t>Change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5622"/>
        <w:gridCol w:w="2811"/>
        <w:gridCol w:w="2811"/>
        <w:gridCol w:w="2811"/>
      </w:tblGrid>
      <w:tr>
        <w:trPr>
          <w:cantSplit/>
          <w:tblHeader w:val="true"/>
        </w:trPr>
        <w:tc>
          <w:tcPr>
            <w:tcW w:type="dxa" w:w="5622"/>
            <w:vAlign w:val="center"/>
            <w:shd w:fill="222222"/>
          </w:tcPr>
          <w:p>
            <w:pPr>
              <w:keepNext/>
              <w:spacing w:after="0" w:before="0" w:line="264" w:lineRule="auto"/>
            </w:pPr>
            <w:r>
              <w:rPr>
                <w:rFonts w:ascii="Arial" w:hAnsi="Arial"/>
                <w:b/>
                <w:color w:val="FFFFFF"/>
                <w:sz w:val="20"/>
              </w:rPr>
              <w:t>Date / version</w:t>
            </w:r>
          </w:p>
        </w:tc>
        <w:tc>
          <w:tcPr>
            <w:tcW w:type="dxa" w:w="2811"/>
            <w:vAlign w:val="center"/>
            <w:shd w:fill="222222"/>
          </w:tcPr>
          <w:p>
            <w:pPr>
              <w:keepNext/>
              <w:spacing w:after="0" w:before="0" w:line="264" w:lineRule="auto"/>
            </w:pPr>
            <w:r>
              <w:rPr>
                <w:rFonts w:ascii="Arial" w:hAnsi="Arial"/>
                <w:b/>
                <w:color w:val="FFFFFF"/>
                <w:sz w:val="20"/>
              </w:rPr>
              <w:t>Trigger and changed facts</w:t>
            </w:r>
          </w:p>
        </w:tc>
        <w:tc>
          <w:tcPr>
            <w:tcW w:type="dxa" w:w="2811"/>
            <w:vAlign w:val="center"/>
            <w:shd w:fill="222222"/>
          </w:tcPr>
          <w:p>
            <w:pPr>
              <w:keepNext/>
              <w:spacing w:after="0" w:before="0" w:line="264" w:lineRule="auto"/>
            </w:pPr>
            <w:r>
              <w:rPr>
                <w:rFonts w:ascii="Arial" w:hAnsi="Arial"/>
                <w:b/>
                <w:color w:val="FFFFFF"/>
                <w:sz w:val="20"/>
              </w:rPr>
              <w:t>Sources/measures reassessed</w:t>
            </w:r>
          </w:p>
        </w:tc>
        <w:tc>
          <w:tcPr>
            <w:tcW w:type="dxa" w:w="2811"/>
            <w:vAlign w:val="center"/>
            <w:shd w:fill="222222"/>
          </w:tcPr>
          <w:p>
            <w:pPr>
              <w:keepNext/>
              <w:spacing w:after="0" w:before="0" w:line="264" w:lineRule="auto"/>
            </w:pPr>
            <w:r>
              <w:rPr>
                <w:rFonts w:ascii="Arial" w:hAnsi="Arial"/>
                <w:b/>
                <w:color w:val="FFFFFF"/>
                <w:sz w:val="20"/>
              </w:rPr>
              <w:t>Result / decision / next review</w:t>
            </w:r>
          </w:p>
        </w:tc>
      </w:tr>
      <w:tr>
        <w:trPr>
          <w:cantSplit/>
        </w:trPr>
        <w:tc>
          <w:tcPr>
            <w:tcW w:type="dxa" w:w="5622"/>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c>
          <w:tcPr>
            <w:tcW w:type="dxa" w:w="2811"/>
            <w:vAlign w:val="center"/>
            <w:shd w:fill="FFFFFF"/>
          </w:tcPr>
          <w:p>
            <w:pPr>
              <w:spacing w:after="0" w:before="0" w:line="264" w:lineRule="auto"/>
              <w:jc w:val="center"/>
            </w:pPr>
            <w:r>
              <w:rPr>
                <w:rFonts w:ascii="Arial" w:hAnsi="Arial"/>
                <w:color w:val="111111"/>
                <w:sz w:val="20"/>
              </w:rPr>
              <w:t>[complete]</w:t>
            </w:r>
          </w:p>
        </w:tc>
      </w:tr>
    </w:tbl>
    <w:p>
      <w:pPr>
        <w:spacing w:after="0" w:line="20" w:lineRule="exact"/>
      </w:pPr>
      <w:r>
        <w:rPr>
          <w:sz w:val="2"/>
        </w:rPr>
      </w:r>
    </w:p>
    <w:p>
      <w:pPr>
        <w:pStyle w:val="Heading1"/>
      </w:pPr>
      <w:r>
        <w:rPr>
          <w:rFonts w:ascii="Arial" w:hAnsi="Arial"/>
          <w:color w:val="000000"/>
        </w:rPr>
        <w:t>9. Sources and further working materials</w:t>
      </w:r>
    </w:p>
    <w:p>
      <w:pPr>
        <w:ind w:right="1800"/>
      </w:pPr>
      <w:r>
        <w:rPr>
          <w:rFonts w:ascii="Arial" w:hAnsi="Arial"/>
        </w:rPr>
        <w:t>This template is an original T-NEX working structure. The following primary sources were checked on 10 September 2026 for this template version. Record the current versions and country-specific sources additionally for the particular case.</w:t>
      </w:r>
    </w:p>
    <w:p>
      <w:pPr>
        <w:spacing w:after="100"/>
        <w:ind w:left="259" w:hanging="259" w:right="1800"/>
      </w:pPr>
      <w:r>
        <w:rPr>
          <w:rFonts w:ascii="Arial" w:hAnsi="Arial"/>
        </w:rPr>
        <w:t xml:space="preserve">- </w:t>
      </w:r>
      <w:hyperlink r:id="rId11">
        <w:r>
          <w:rPr>
            <w:rFonts w:ascii="Arial" w:hAnsi="Arial"/>
            <w:color w:val="047857"/>
            <w:u w:val="single"/>
          </w:rPr>
          <w:t xml:space="preserve">GDPR – particularly Articles 3, 6, 9, 28, 32, 35 and 44–49</w:t>
        </w:r>
      </w:hyperlink>
      <w:r>
        <w:rPr>
          <w:rFonts w:ascii="Arial" w:hAnsi="Arial"/>
        </w:rPr>
        <w:t>.</w:t>
      </w:r>
    </w:p>
    <w:p>
      <w:pPr>
        <w:spacing w:after="100"/>
        <w:ind w:left="259" w:hanging="259" w:right="1800"/>
      </w:pPr>
      <w:r>
        <w:rPr>
          <w:rFonts w:ascii="Arial" w:hAnsi="Arial"/>
        </w:rPr>
        <w:t xml:space="preserve">- </w:t>
      </w:r>
      <w:hyperlink r:id="rId12">
        <w:r>
          <w:rPr>
            <w:rFonts w:ascii="Arial" w:hAnsi="Arial"/>
            <w:color w:val="047857"/>
            <w:u w:val="single"/>
          </w:rPr>
          <w:t xml:space="preserve">SCCs 2021/914 – Article 1, modules, Clauses 14–16 and annexes</w:t>
        </w:r>
      </w:hyperlink>
      <w:r>
        <w:rPr>
          <w:rFonts w:ascii="Arial" w:hAnsi="Arial"/>
        </w:rPr>
        <w:t>.</w:t>
      </w:r>
    </w:p>
    <w:p>
      <w:pPr>
        <w:spacing w:after="100"/>
        <w:ind w:left="259" w:hanging="259" w:right="1800"/>
      </w:pPr>
      <w:r>
        <w:rPr>
          <w:rFonts w:ascii="Arial" w:hAnsi="Arial"/>
        </w:rPr>
        <w:t xml:space="preserve">- </w:t>
      </w:r>
      <w:hyperlink r:id="rId13">
        <w:r>
          <w:rPr>
            <w:rFonts w:ascii="Arial" w:hAnsi="Arial"/>
            <w:color w:val="047857"/>
            <w:u w:val="single"/>
          </w:rPr>
          <w:t xml:space="preserve">2021/915 controller–processor clauses – particularly Clause 1(f)</w:t>
        </w:r>
      </w:hyperlink>
      <w:r>
        <w:rPr>
          <w:rFonts w:ascii="Arial" w:hAnsi="Arial"/>
        </w:rPr>
        <w:t>.</w:t>
      </w:r>
    </w:p>
    <w:p>
      <w:pPr>
        <w:spacing w:after="100"/>
        <w:ind w:left="259" w:hanging="259" w:right="1800"/>
      </w:pPr>
      <w:r>
        <w:rPr>
          <w:rFonts w:ascii="Arial" w:hAnsi="Arial"/>
        </w:rPr>
        <w:t xml:space="preserve">- </w:t>
      </w:r>
      <w:hyperlink r:id="rId14">
        <w:r>
          <w:rPr>
            <w:rFonts w:ascii="Arial" w:hAnsi="Arial"/>
            <w:color w:val="047857"/>
            <w:u w:val="single"/>
          </w:rPr>
          <w:t xml:space="preserve">European Commission: current adequacy decisions</w:t>
        </w:r>
      </w:hyperlink>
      <w:r>
        <w:rPr>
          <w:rFonts w:ascii="Arial" w:hAnsi="Arial"/>
        </w:rPr>
        <w:t>.</w:t>
      </w:r>
    </w:p>
    <w:p>
      <w:pPr>
        <w:spacing w:after="100"/>
        <w:ind w:left="259" w:hanging="259" w:right="1800"/>
      </w:pPr>
      <w:r>
        <w:rPr>
          <w:rFonts w:ascii="Arial" w:hAnsi="Arial"/>
        </w:rPr>
        <w:t xml:space="preserve">- </w:t>
      </w:r>
      <w:hyperlink r:id="rId15">
        <w:r>
          <w:rPr>
            <w:rFonts w:ascii="Arial" w:hAnsi="Arial"/>
            <w:color w:val="047857"/>
            <w:u w:val="single"/>
          </w:rPr>
          <w:t xml:space="preserve">European Commission: SCC overview and scope</w:t>
        </w:r>
      </w:hyperlink>
      <w:r>
        <w:rPr>
          <w:rFonts w:ascii="Arial" w:hAnsi="Arial"/>
        </w:rPr>
        <w:t>.</w:t>
      </w:r>
    </w:p>
    <w:p>
      <w:pPr>
        <w:spacing w:after="100"/>
        <w:ind w:left="259" w:hanging="259" w:right="1800"/>
      </w:pPr>
      <w:r>
        <w:rPr>
          <w:rFonts w:ascii="Arial" w:hAnsi="Arial"/>
        </w:rPr>
        <w:t xml:space="preserve">- </w:t>
      </w:r>
      <w:hyperlink r:id="rId16">
        <w:r>
          <w:rPr>
            <w:rFonts w:ascii="Arial" w:hAnsi="Arial"/>
            <w:color w:val="047857"/>
            <w:u w:val="single"/>
          </w:rPr>
          <w:t xml:space="preserve">EDPB Guidelines 05/2021, version 2.0 – Article 3 and the transfer concept</w:t>
        </w:r>
      </w:hyperlink>
      <w:r>
        <w:rPr>
          <w:rFonts w:ascii="Arial" w:hAnsi="Arial"/>
        </w:rPr>
        <w:t>.</w:t>
      </w:r>
    </w:p>
    <w:p>
      <w:pPr>
        <w:spacing w:after="100"/>
        <w:ind w:left="259" w:hanging="259" w:right="1800"/>
      </w:pPr>
      <w:r>
        <w:rPr>
          <w:rFonts w:ascii="Arial" w:hAnsi="Arial"/>
        </w:rPr>
        <w:t xml:space="preserve">- </w:t>
      </w:r>
      <w:hyperlink r:id="rId17">
        <w:r>
          <w:rPr>
            <w:rFonts w:ascii="Arial" w:hAnsi="Arial"/>
            <w:color w:val="047857"/>
            <w:u w:val="single"/>
          </w:rPr>
          <w:t xml:space="preserve">EDPB Recommendations 01/2020, version 2.0 – supplementary measures</w:t>
        </w:r>
      </w:hyperlink>
      <w:r>
        <w:rPr>
          <w:rFonts w:ascii="Arial" w:hAnsi="Arial"/>
        </w:rPr>
        <w:t>.</w:t>
      </w:r>
    </w:p>
    <w:p>
      <w:pPr>
        <w:spacing w:after="100"/>
        <w:ind w:left="259" w:hanging="259" w:right="1800"/>
      </w:pPr>
      <w:r>
        <w:rPr>
          <w:rFonts w:ascii="Arial" w:hAnsi="Arial"/>
        </w:rPr>
        <w:t xml:space="preserve">- </w:t>
      </w:r>
      <w:hyperlink r:id="rId18">
        <w:r>
          <w:rPr>
            <w:rFonts w:ascii="Arial" w:hAnsi="Arial"/>
            <w:color w:val="047857"/>
            <w:u w:val="single"/>
          </w:rPr>
          <w:t xml:space="preserve">CNIL: final TIA guide and external ODS template, published 9 July 2025</w:t>
        </w:r>
      </w:hyperlink>
      <w:r>
        <w:rPr>
          <w:rFonts w:ascii="Arial" w:hAnsi="Arial"/>
        </w:rPr>
        <w:t>.</w:t>
      </w:r>
    </w:p>
    <w:p>
      <w:pPr>
        <w:spacing w:after="100"/>
        <w:ind w:left="259" w:hanging="259" w:right="1800"/>
      </w:pPr>
      <w:r>
        <w:rPr>
          <w:rFonts w:ascii="Arial" w:hAnsi="Arial"/>
        </w:rPr>
        <w:t xml:space="preserve">- </w:t>
      </w:r>
      <w:hyperlink r:id="rId19">
        <w:r>
          <w:rPr>
            <w:rFonts w:ascii="Arial" w:hAnsi="Arial"/>
            <w:color w:val="047857"/>
            <w:u w:val="single"/>
          </w:rPr>
          <w:t xml:space="preserve">CNIL Practical Guide, final version January 2025</w:t>
        </w:r>
      </w:hyperlink>
      <w:r>
        <w:rPr>
          <w:rFonts w:ascii="Arial" w:hAnsi="Arial"/>
        </w:rPr>
        <w:t>.</w:t>
      </w:r>
    </w:p>
    <w:sectPr w:rsidR="00FC693F" w:rsidRPr="0006063C" w:rsidSect="00034616">
      <w:headerReference w:type="default" r:id="rId9"/>
      <w:footerReference w:type="default" r:id="rId10"/>
      <w:pgSz w:w="15840" w:h="12240" w:orient="landscape"/>
      <w:pgMar w:top="965" w:right="893" w:bottom="893" w:left="893"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666666"/>
        <w:sz w:val="17"/>
      </w:rPr>
      <w:t xml:space="preserve">T-NEX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5448" cy="138793"/>
          <wp:docPr id="1" name="Picture 1"/>
          <wp:cNvGraphicFramePr>
            <a:graphicFrameLocks noChangeAspect="1"/>
          </wp:cNvGraphicFramePr>
          <a:graphic>
            <a:graphicData uri="http://schemas.openxmlformats.org/drawingml/2006/picture">
              <pic:pic>
                <pic:nvPicPr>
                  <pic:cNvPr id="0" name="tnex-chevron.png"/>
                  <pic:cNvPicPr/>
                </pic:nvPicPr>
                <pic:blipFill>
                  <a:blip r:embed="rId1"/>
                  <a:stretch>
                    <a:fillRect/>
                  </a:stretch>
                </pic:blipFill>
                <pic:spPr>
                  <a:xfrm>
                    <a:off x="0" y="0"/>
                    <a:ext cx="155448" cy="138793"/>
                  </a:xfrm>
                  <a:prstGeom prst="rect"/>
                </pic:spPr>
              </pic:pic>
            </a:graphicData>
          </a:graphic>
        </wp:inline>
      </w:drawing>
    </w:r>
    <w:r>
      <w:rPr>
        <w:rFonts w:ascii="Arial" w:hAnsi="Arial"/>
        <w:b/>
        <w:color w:val="000000"/>
        <w:sz w:val="21"/>
      </w:rPr>
      <w:t xml:space="preserve"> T-NEX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40" w:line="264"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64"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ur-lex.europa.eu/legal-content/EN/TXT/?uri=CELEX:32016R0679" TargetMode="External"/><Relationship Id="rId12" Type="http://schemas.openxmlformats.org/officeDocument/2006/relationships/hyperlink" Target="https://eur-lex.europa.eu/legal-content/EN/TXT/?uri=CELEX:32021D0914" TargetMode="External"/><Relationship Id="rId13" Type="http://schemas.openxmlformats.org/officeDocument/2006/relationships/hyperlink" Target="https://eur-lex.europa.eu/legal-content/EN/TXT/?uri=CELEX:32021D0915" TargetMode="External"/><Relationship Id="rId14" Type="http://schemas.openxmlformats.org/officeDocument/2006/relationships/hyperlink" Target="https://commission.europa.eu/law/law-topic/data-protection/international-dimension-data-protection/adequacy-decisions_en" TargetMode="External"/><Relationship Id="rId15" Type="http://schemas.openxmlformats.org/officeDocument/2006/relationships/hyperlink" Target="https://commission.europa.eu/law/law-topic/data-protection/international-dimension-data-protection/standard-contractual-clauses-scc_en" TargetMode="External"/><Relationship Id="rId16" Type="http://schemas.openxmlformats.org/officeDocument/2006/relationships/hyperlink" Target="https://www.edpb.europa.eu/system/files/2023-02/edpb_guidelines_05-2021_interplay_between_the_application_of_art3-chapter_v_of_the_gdpr_v2_en_0.pdf" TargetMode="External"/><Relationship Id="rId17" Type="http://schemas.openxmlformats.org/officeDocument/2006/relationships/hyperlink" Target="https://www.edpb.europa.eu/system/files/documents/2021-06/edpb_recommendations_202001vo.2.0_supplementarymeasurestransferstools_en.pdf" TargetMode="External"/><Relationship Id="rId18" Type="http://schemas.openxmlformats.org/officeDocument/2006/relationships/hyperlink" Target="https://www.cnil.fr/en/transfer-impact-assessment-tia-cnil-publishes-final-version-its-guide" TargetMode="External"/><Relationship Id="rId19" Type="http://schemas.openxmlformats.org/officeDocument/2006/relationships/hyperlink" Target="https://www.cnil.fr/sites/default/files/2025-07/guide_ti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Impact Assessment – working template</dc:title>
  <dc:subject>T-NEX working material</dc:subject>
  <dc:creator>T-NEX GmbH</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