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GRC register migration and acceptance record</w:t>
      </w:r>
    </w:p>
    <w:p>
      <w:pPr>
        <w:ind w:right="1800"/>
      </w:pPr>
      <w:r>
        <w:rPr>
          <w:rFonts w:ascii="Arial" w:hAnsi="Arial"/>
        </w:rPr>
        <w:t>Version: 11 September 2026</w:t>
      </w:r>
    </w:p>
    <w:p>
      <w:pPr>
        <w:pStyle w:val="Heading1"/>
      </w:pPr>
      <w:r>
        <w:rPr>
          <w:rFonts w:ascii="Arial" w:hAnsi="Arial"/>
          <w:color w:val="000000"/>
        </w:rPr>
        <w:t>Scope</w:t>
      </w:r>
    </w:p>
    <w:p>
      <w:pPr>
        <w:ind w:right="1800"/>
      </w:pPr>
      <w:r>
        <w:rPr>
          <w:rFonts w:ascii="Arial" w:hAnsi="Arial"/>
        </w:rPr>
        <w:t>Process / register: [enter]</w:t>
        <w:br/>
        <w:t>Business owner: [enter]</w:t>
        <w:br/>
        <w:t>Technical owner: [enter]</w:t>
        <w:br/>
        <w:t>Source / target: [enter]</w:t>
        <w:br/>
        <w:t>Preserved baseline: [version and timestamp]</w:t>
        <w:br/>
        <w:t>Planned cutover: [enter]</w:t>
      </w:r>
    </w:p>
    <w:p>
      <w:pPr>
        <w:pStyle w:val="Heading1"/>
      </w:pPr>
      <w:r>
        <w:rPr>
          <w:rFonts w:ascii="Arial" w:hAnsi="Arial"/>
          <w:color w:val="000000"/>
        </w:rPr>
        <w:t>Inventory and field mapping</w:t>
      </w:r>
    </w:p>
    <w:p>
      <w:pPr>
        <w:ind w:right="1800"/>
      </w:pPr>
      <w:r>
        <w:rPr>
          <w:rFonts w:ascii="Arial" w:hAnsi="Arial"/>
        </w:rPr>
        <w:t>Include attachments, macros, links, recipients and reports. Preserve the source version in a readable form.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2389"/>
        <w:gridCol w:w="2670"/>
        <w:gridCol w:w="2530"/>
        <w:gridCol w:w="2389"/>
        <w:gridCol w:w="1968"/>
        <w:gridCol w:w="2108"/>
      </w:tblGrid>
      <w:tr>
        <w:trPr>
          <w:cantSplit/>
          <w:tblHeader w:val="true"/>
        </w:trPr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Source field / object</w:t>
            </w:r>
          </w:p>
        </w:tc>
        <w:tc>
          <w:tcPr>
            <w:tcW w:type="dxa" w:w="267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53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Business meaning</w:t>
            </w:r>
          </w:p>
        </w:tc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Transformation rule</w:t>
            </w:r>
          </w:p>
        </w:tc>
        <w:tc>
          <w:tcPr>
            <w:tcW w:type="dxa" w:w="196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Error handling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Approval</w:t>
            </w:r>
          </w:p>
        </w:tc>
      </w:tr>
      <w:tr>
        <w:trPr>
          <w:cantSplit/>
        </w:trPr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67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53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196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[person / date]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color w:val="000000"/>
        </w:rPr>
        <w:t>Cleansing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Record ID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Problem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Decision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Evidence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[duplicate / missing value / conflicting status]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Keep unknown values visible as unresolved. Do not translate them into zero, completed or a substitute date without an approved decision.</w:t>
      </w:r>
    </w:p>
    <w:p>
      <w:pPr>
        <w:pStyle w:val="Heading1"/>
      </w:pPr>
      <w:r>
        <w:rPr>
          <w:rFonts w:ascii="Arial" w:hAnsi="Arial"/>
          <w:color w:val="000000"/>
        </w:rPr>
        <w:t>Trial and acceptance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Expected result / comparison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Actual result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Difference / action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Approval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Record count by object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[source counts]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IDs and duplicates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[uniqueness rule]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Relationships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[completeness / references]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Statuses and deadlines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[distribution / sample]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Open supporting evidence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[sample IDs]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Permissions and approvals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[role scenarios]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Export and recovery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[defined case]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color w:val="000000"/>
        </w:rPr>
        <w:t>Cutover and rollback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Authoritative system and start time: [enter]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Change freeze and handling of interim changes: [enter]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Purpose / length of parallel comparison: [enter]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Rollback criteria and decision owner: [enter]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Treatment of newly created records in rollback: [enter]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Source archive: [rule, location, access and duration]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Handover to operations: [owners and date]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Post-cutover adoption review: [date and criteria]</w:t>
      </w:r>
    </w:p>
    <w:p>
      <w:pPr>
        <w:ind w:right="1800"/>
      </w:pPr>
      <w:r>
        <w:rPr>
          <w:rFonts w:ascii="Arial" w:hAnsi="Arial"/>
        </w:rPr>
        <w:t>Business acceptance: [person / date / decision]</w:t>
        <w:br/>
        <w:t>Technical handover: [person / date / decision]</w:t>
      </w:r>
    </w:p>
    <w:p>
      <w:pPr>
        <w:pStyle w:val="Heading1"/>
      </w:pPr>
      <w:r>
        <w:rPr>
          <w:rFonts w:ascii="Arial" w:hAnsi="Arial"/>
          <w:color w:val="000000"/>
        </w:rPr>
        <w:t>Foundations</w:t>
      </w:r>
    </w:p>
    <w:p>
      <w:pPr>
        <w:ind w:right="1800"/>
      </w:pPr>
      <w:r>
        <w:rPr>
          <w:rFonts w:ascii="Arial" w:hAnsi="Arial"/>
        </w:rPr>
        <w:t xml:space="preserve">Original working process for data and workflow acceptance. Regulatory context: </w:t>
      </w:r>
      <w:hyperlink r:id="rId11">
        <w:r>
          <w:rPr>
            <w:rFonts w:ascii="Arial" w:hAnsi="Arial"/>
            <w:color w:val="047857"/>
            <w:u w:val="single"/>
          </w:rPr>
          <w:t xml:space="preserve">MaRisk, AT 6 and AT 7.2</w:t>
        </w:r>
      </w:hyperlink>
      <w:r>
        <w:rPr>
          <w:rFonts w:ascii="Arial" w:hAnsi="Arial"/>
        </w:rPr>
        <w:t xml:space="preserve"> and </w:t>
      </w:r>
      <w:hyperlink r:id="rId12">
        <w:r>
          <w:rPr>
            <w:rFonts w:ascii="Arial" w:hAnsi="Arial"/>
            <w:color w:val="047857"/>
            <w:u w:val="single"/>
          </w:rPr>
          <w:t xml:space="preserve">DORA</w:t>
        </w:r>
      </w:hyperlink>
      <w:r>
        <w:rPr>
          <w:rFonts w:ascii="Arial" w:hAnsi="Arial"/>
        </w:rPr>
        <w:t>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65" w:right="893" w:bottom="893" w:left="893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666666"/>
        <w:sz w:val="17"/>
      </w:rPr>
      <w:t xml:space="preserve">T-NEX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5448" cy="1387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nex-chev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" cy="13879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00000"/>
        <w:sz w:val="21"/>
      </w:rPr>
      <w:t xml:space="preserve"> T-NEX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undesbank.de/resource/blob/825336/866a68577eb35afee82fbe60c39a4f87/472B63F073F071307366337C94F8C870/2026-06-30-rundschreiben-data.pdf" TargetMode="External"/><Relationship Id="rId12" Type="http://schemas.openxmlformats.org/officeDocument/2006/relationships/hyperlink" Target="https://eur-lex.europa.eu/eli/reg/2022/2554/oj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GRC register migration and acceptance record</dc:title>
  <dc:subject>T-NEX working material</dc:subject>
  <dc:creator>T-NEX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