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GRC-Register: Migrations- und Abnahmeprotokoll</w:t>
      </w:r>
    </w:p>
    <w:p>
      <w:pPr>
        <w:ind w:right="1800"/>
      </w:pPr>
      <w:r>
        <w:rPr>
          <w:rFonts w:ascii="Arial" w:hAnsi="Arial"/>
        </w:rPr>
        <w:t>Version: 11.09.2026</w:t>
      </w:r>
    </w:p>
    <w:p>
      <w:pPr>
        <w:pStyle w:val="Heading1"/>
      </w:pPr>
      <w:r>
        <w:rPr>
          <w:rFonts w:ascii="Arial" w:hAnsi="Arial"/>
          <w:color w:val="000000"/>
        </w:rPr>
        <w:t>Umfang</w:t>
      </w:r>
    </w:p>
    <w:p>
      <w:pPr>
        <w:ind w:right="1800"/>
      </w:pPr>
      <w:r>
        <w:rPr>
          <w:rFonts w:ascii="Arial" w:hAnsi="Arial"/>
        </w:rPr>
        <w:t>Prozess / Register: [eintragen]</w:t>
        <w:br/>
        <w:t>Fachlich verantwortlich: [eintragen]</w:t>
        <w:br/>
        <w:t>Technisch verantwortlich: [eintragen]</w:t>
        <w:br/>
        <w:t>Quelle / Ziel: [eintragen]</w:t>
        <w:br/>
        <w:t>Gesicherter Ausgangsstand: [Version und Zeitpunkt]</w:t>
        <w:br/>
        <w:t>Geplantes Umstiegsdatum: [eintragen]</w:t>
      </w:r>
    </w:p>
    <w:p>
      <w:pPr>
        <w:pStyle w:val="Heading1"/>
      </w:pPr>
      <w:r>
        <w:rPr>
          <w:rFonts w:ascii="Arial" w:hAnsi="Arial"/>
          <w:color w:val="000000"/>
        </w:rPr>
        <w:t>Inventar und Feldzuordnung</w:t>
      </w:r>
    </w:p>
    <w:p>
      <w:pPr>
        <w:ind w:right="1800"/>
      </w:pPr>
      <w:r>
        <w:rPr>
          <w:rFonts w:ascii="Arial" w:hAnsi="Arial"/>
        </w:rPr>
        <w:t>Auch Anhänge, Makros, Verknüpfungen, Abnehmer und Berichte berücksichtigen. Der Quellstand bleibt unverändert lesbar.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2389"/>
        <w:gridCol w:w="2670"/>
        <w:gridCol w:w="2530"/>
        <w:gridCol w:w="2389"/>
        <w:gridCol w:w="1968"/>
        <w:gridCol w:w="2108"/>
      </w:tblGrid>
      <w:tr>
        <w:trPr>
          <w:cantSplit/>
          <w:tblHeader w:val="true"/>
        </w:trPr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Quellfeld / Objekt</w:t>
            </w:r>
          </w:p>
        </w:tc>
        <w:tc>
          <w:tcPr>
            <w:tcW w:type="dxa" w:w="267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Ziel</w:t>
            </w:r>
          </w:p>
        </w:tc>
        <w:tc>
          <w:tcPr>
            <w:tcW w:type="dxa" w:w="2530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Fachliche Bedeutung</w:t>
            </w:r>
          </w:p>
        </w:tc>
        <w:tc>
          <w:tcPr>
            <w:tcW w:type="dxa" w:w="238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Umwandlungsregel</w:t>
            </w:r>
          </w:p>
        </w:tc>
        <w:tc>
          <w:tcPr>
            <w:tcW w:type="dxa" w:w="196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Fehlerbehandlung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Freigabe</w:t>
            </w:r>
          </w:p>
        </w:tc>
      </w:tr>
      <w:tr>
        <w:trPr>
          <w:cantSplit/>
        </w:trPr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67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530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38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196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[Person / Datum]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color w:val="000000"/>
        </w:rPr>
        <w:t>Bereinigungsentscheidungen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092"/>
        <w:gridCol w:w="3795"/>
        <w:gridCol w:w="2951"/>
        <w:gridCol w:w="2108"/>
        <w:gridCol w:w="2108"/>
      </w:tblGrid>
      <w:tr>
        <w:trPr>
          <w:cantSplit/>
          <w:tblHeader w:val="true"/>
        </w:trPr>
        <w:tc>
          <w:tcPr>
            <w:tcW w:type="dxa" w:w="309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Datensatz-ID</w:t>
            </w:r>
          </w:p>
        </w:tc>
        <w:tc>
          <w:tcPr>
            <w:tcW w:type="dxa" w:w="379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Problem</w:t>
            </w:r>
          </w:p>
        </w:tc>
        <w:tc>
          <w:tcPr>
            <w:tcW w:type="dxa" w:w="295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Entscheidung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Verantwortlicher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Beleg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[Dublette / fehlender Wert / widersprüchlicher Status]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Unbekannte Werte bleiben als ungeklärt erkennbar. Sie werden nicht ohne Entscheidung in null, erledigt oder ein Ersatzdatum umgewandelt.</w:t>
      </w:r>
    </w:p>
    <w:p>
      <w:pPr>
        <w:pStyle w:val="Heading1"/>
      </w:pPr>
      <w:r>
        <w:rPr>
          <w:rFonts w:ascii="Arial" w:hAnsi="Arial"/>
          <w:color w:val="000000"/>
        </w:rPr>
        <w:t>Probelauf und Abnahme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092"/>
        <w:gridCol w:w="3795"/>
        <w:gridCol w:w="2951"/>
        <w:gridCol w:w="2108"/>
        <w:gridCol w:w="2108"/>
      </w:tblGrid>
      <w:tr>
        <w:trPr>
          <w:cantSplit/>
          <w:tblHeader w:val="true"/>
        </w:trPr>
        <w:tc>
          <w:tcPr>
            <w:tcW w:type="dxa" w:w="309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Prüfung</w:t>
            </w:r>
          </w:p>
        </w:tc>
        <w:tc>
          <w:tcPr>
            <w:tcW w:type="dxa" w:w="379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Soll / Vergleichsgrundlage</w:t>
            </w:r>
          </w:p>
        </w:tc>
        <w:tc>
          <w:tcPr>
            <w:tcW w:type="dxa" w:w="295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Ergebnis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Abweichung / Maßnahme</w:t>
            </w:r>
          </w:p>
        </w:tc>
        <w:tc>
          <w:tcPr>
            <w:tcW w:type="dxa" w:w="210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Freigabe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Datensatzanzahl je Objekt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[Quellzahlen]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IDs und Dubletten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[Eindeutigkeitsregel]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Beziehungen zwischen Objekten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[Vollständigkeit / Referenzen]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Status und Fälligkeiten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[Verteilung / Stichprobe]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Nachweise öffnen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[Stichproben-IDs]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Rechte und Freigaben</w:t>
            </w:r>
          </w:p>
        </w:tc>
        <w:tc>
          <w:tcPr>
            <w:tcW w:type="dxa" w:w="379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[Rollenfälle]</w:t>
            </w:r>
          </w:p>
        </w:tc>
        <w:tc>
          <w:tcPr>
            <w:tcW w:type="dxa" w:w="295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  <w:tr>
        <w:trPr>
          <w:cantSplit/>
        </w:trPr>
        <w:tc>
          <w:tcPr>
            <w:tcW w:type="dxa" w:w="309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Export und Wiederherstellung</w:t>
            </w:r>
          </w:p>
        </w:tc>
        <w:tc>
          <w:tcPr>
            <w:tcW w:type="dxa" w:w="379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[definierter Prüffall]</w:t>
            </w:r>
          </w:p>
        </w:tc>
        <w:tc>
          <w:tcPr>
            <w:tcW w:type="dxa" w:w="295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  <w:tc>
          <w:tcPr>
            <w:tcW w:type="dxa" w:w="210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[eintragen]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color w:val="000000"/>
        </w:rPr>
        <w:t>Umstieg und Rückfall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Führendes System ab welchem Zeitpunkt: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Änderungsstopp und Behandlung zwischenzeitlicher Änderungen: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Dauer / Zweck eines Vergleichsbetriebs: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Rückfallkriterien und entscheidungsbefugte Person: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Übernahme neu entstandener Vorgänge beim Rückfall: [eintragen]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Archivierung der Quelle: [Regel, Ort, Zugriff und Dauer]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Übergabe an den Betrieb: [Verantwortliche und Datum]</w:t>
      </w:r>
    </w:p>
    <w:p>
      <w:pPr>
        <w:spacing w:after="100"/>
        <w:ind w:left="259" w:hanging="259" w:right="1800"/>
      </w:pPr>
      <w:r>
        <w:rPr>
          <w:rFonts w:ascii="Arial" w:hAnsi="Arial"/>
        </w:rPr>
        <w:t>- Prüfung der tatsächlichen Nutzung nach Umstieg: [Termin und Kriterien]</w:t>
      </w:r>
    </w:p>
    <w:p>
      <w:pPr>
        <w:ind w:right="1800"/>
      </w:pPr>
      <w:r>
        <w:rPr>
          <w:rFonts w:ascii="Arial" w:hAnsi="Arial"/>
        </w:rPr>
        <w:t>Fachliche Abnahme: [Person / Datum / Entscheidung]</w:t>
        <w:br/>
        <w:t>Technische Übergabe: [Person / Datum / Entscheidung]</w:t>
      </w:r>
    </w:p>
    <w:p>
      <w:pPr>
        <w:pStyle w:val="Heading1"/>
      </w:pPr>
      <w:r>
        <w:rPr>
          <w:rFonts w:ascii="Arial" w:hAnsi="Arial"/>
          <w:color w:val="000000"/>
        </w:rPr>
        <w:t>Grundlagen</w:t>
      </w:r>
    </w:p>
    <w:p>
      <w:pPr>
        <w:ind w:right="1800"/>
      </w:pPr>
      <w:r>
        <w:rPr>
          <w:rFonts w:ascii="Arial" w:hAnsi="Arial"/>
        </w:rPr>
        <w:t xml:space="preserve">Eigener Arbeitsablauf für die Daten- und Prozessabnahme. Regulatorischer Kontext: </w:t>
      </w:r>
      <w:hyperlink r:id="rId11">
        <w:r>
          <w:rPr>
            <w:rFonts w:ascii="Arial" w:hAnsi="Arial"/>
            <w:color w:val="047857"/>
            <w:u w:val="single"/>
          </w:rPr>
          <w:t xml:space="preserve">MaRisk, AT 6 und AT 7.2</w:t>
        </w:r>
      </w:hyperlink>
      <w:r>
        <w:rPr>
          <w:rFonts w:ascii="Arial" w:hAnsi="Arial"/>
        </w:rPr>
        <w:t xml:space="preserve"> und </w:t>
      </w:r>
      <w:hyperlink r:id="rId12">
        <w:r>
          <w:rPr>
            <w:rFonts w:ascii="Arial" w:hAnsi="Arial"/>
            <w:color w:val="047857"/>
            <w:u w:val="single"/>
          </w:rPr>
          <w:t xml:space="preserve">DORA</w:t>
        </w:r>
      </w:hyperlink>
      <w:r>
        <w:rPr>
          <w:rFonts w:ascii="Arial" w:hAnsi="Arial"/>
        </w:rPr>
        <w:t>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65" w:right="893" w:bottom="893" w:left="893" w:header="346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666666"/>
        <w:sz w:val="17"/>
      </w:rPr>
      <w:t xml:space="preserve">T-NEX  ·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5448" cy="1387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nex-chev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" cy="13879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00000"/>
        <w:sz w:val="21"/>
      </w:rPr>
      <w:t xml:space="preserve"> T-NEX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undesbank.de/resource/blob/825336/866a68577eb35afee82fbe60c39a4f87/472B63F073F071307366337C94F8C870/2026-06-30-rundschreiben-data.pdf" TargetMode="External"/><Relationship Id="rId12" Type="http://schemas.openxmlformats.org/officeDocument/2006/relationships/hyperlink" Target="https://eur-lex.europa.eu/eli/reg/2022/2554/oj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GRC-Register: Migrations- und Abnahmeprotokoll</dc:title>
  <dc:subject>T-NEX working material</dc:subject>
  <dc:creator>T-NEX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