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/>
          <w:color w:val="000000"/>
        </w:rPr>
        <w:t>GRC software business case worksheet</w:t>
      </w:r>
    </w:p>
    <w:p>
      <w:pPr>
        <w:ind w:right="1800"/>
      </w:pPr>
      <w:r>
        <w:rPr>
          <w:rFonts w:ascii="Arial" w:hAnsi="Arial"/>
        </w:rPr>
        <w:t>Version: 11 September 2026. Original calculation structure for manual completion, not an automated calculator.</w:t>
      </w:r>
    </w:p>
    <w:p>
      <w:pPr>
        <w:pStyle w:val="Heading1"/>
      </w:pPr>
      <w:r>
        <w:rPr>
          <w:rFonts w:ascii="Arial" w:hAnsi="Arial"/>
          <w:color w:val="000000"/>
        </w:rPr>
        <w:t>Decision scope</w:t>
      </w:r>
    </w:p>
    <w:p>
      <w:pPr>
        <w:ind w:right="1800"/>
      </w:pPr>
      <w:r>
        <w:rPr>
          <w:rFonts w:ascii="Arial" w:hAnsi="Arial"/>
        </w:rPr>
        <w:t>Problem and process: [enter]</w:t>
        <w:br/>
        <w:t>Desired result: [enter]</w:t>
        <w:br/>
        <w:t>Alternatives: [continue / extend existing system / new solution]</w:t>
        <w:br/>
        <w:t>Comparison period: [years and start date]</w:t>
        <w:br/>
        <w:t>Price date and currency: [enter]</w:t>
        <w:br/>
        <w:t>VAT treatment: [use the same basis for all options]</w:t>
      </w:r>
    </w:p>
    <w:p>
      <w:pPr>
        <w:pStyle w:val="Heading1"/>
      </w:pPr>
      <w:r>
        <w:rPr>
          <w:rFonts w:ascii="Arial" w:hAnsi="Arial"/>
          <w:color w:val="000000"/>
        </w:rPr>
        <w:t>Baseline effort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3233"/>
        <w:gridCol w:w="1968"/>
        <w:gridCol w:w="1968"/>
        <w:gridCol w:w="1968"/>
        <w:gridCol w:w="4919"/>
      </w:tblGrid>
      <w:tr>
        <w:trPr>
          <w:cantSplit/>
          <w:tblHeader w:val="true"/>
        </w:trPr>
        <w:tc>
          <w:tcPr>
            <w:tcW w:type="dxa" w:w="3233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Process</w:t>
            </w:r>
          </w:p>
        </w:tc>
        <w:tc>
          <w:tcPr>
            <w:tcW w:type="dxa" w:w="196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Annual cases</w:t>
            </w:r>
          </w:p>
        </w:tc>
        <w:tc>
          <w:tcPr>
            <w:tcW w:type="dxa" w:w="196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Minutes per case</w:t>
            </w:r>
          </w:p>
        </w:tc>
        <w:tc>
          <w:tcPr>
            <w:tcW w:type="dxa" w:w="1968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Annual hours</w:t>
            </w:r>
          </w:p>
        </w:tc>
        <w:tc>
          <w:tcPr>
            <w:tcW w:type="dxa" w:w="4919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Measurement period / source</w:t>
            </w:r>
          </w:p>
        </w:tc>
      </w:tr>
      <w:tr>
        <w:trPr>
          <w:cantSplit/>
        </w:trPr>
        <w:tc>
          <w:tcPr>
            <w:tcW w:type="dxa" w:w="3233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196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1968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  <w:tc>
          <w:tcPr>
            <w:tcW w:type="dxa" w:w="1968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Cases × minutes ÷ 60</w:t>
            </w:r>
          </w:p>
        </w:tc>
        <w:tc>
          <w:tcPr>
            <w:tcW w:type="dxa" w:w="4919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</w:tbl>
    <w:p>
      <w:pPr>
        <w:spacing w:after="0"/>
      </w:pPr>
    </w:p>
    <w:p>
      <w:pPr>
        <w:ind w:right="1800"/>
      </w:pPr>
      <w:r>
        <w:rPr>
          <w:rFonts w:ascii="Arial" w:hAnsi="Arial"/>
        </w:rPr>
        <w:t>Add hours across processes. Separate recurring work from support for one particular audit. Do not count shared activities twice.</w:t>
      </w:r>
    </w:p>
    <w:p>
      <w:pPr>
        <w:pStyle w:val="Heading1"/>
      </w:pPr>
      <w:r>
        <w:rPr>
          <w:rFonts w:ascii="Arial" w:hAnsi="Arial"/>
          <w:color w:val="000000"/>
        </w:rPr>
        <w:t>Costs for each alternative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3935"/>
        <w:gridCol w:w="1616"/>
        <w:gridCol w:w="1616"/>
        <w:gridCol w:w="1616"/>
        <w:gridCol w:w="1616"/>
        <w:gridCol w:w="3654"/>
      </w:tblGrid>
      <w:tr>
        <w:trPr>
          <w:cantSplit/>
          <w:tblHeader w:val="true"/>
        </w:trPr>
        <w:tc>
          <w:tcPr>
            <w:tcW w:type="dxa" w:w="3935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Cost area</w:t>
            </w:r>
          </w:p>
        </w:tc>
        <w:tc>
          <w:tcPr>
            <w:tcW w:type="dxa" w:w="1616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Year 0</w:t>
            </w:r>
          </w:p>
        </w:tc>
        <w:tc>
          <w:tcPr>
            <w:tcW w:type="dxa" w:w="1616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Year 1</w:t>
            </w:r>
          </w:p>
        </w:tc>
        <w:tc>
          <w:tcPr>
            <w:tcW w:type="dxa" w:w="1616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Year 2</w:t>
            </w:r>
          </w:p>
        </w:tc>
        <w:tc>
          <w:tcPr>
            <w:tcW w:type="dxa" w:w="1616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Year 3</w:t>
            </w:r>
          </w:p>
        </w:tc>
        <w:tc>
          <w:tcPr>
            <w:tcW w:type="dxa" w:w="3654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Proposal / assumption</w:t>
            </w:r>
          </w:p>
        </w:tc>
      </w:tr>
      <w:tr>
        <w:trPr>
          <w:cantSplit/>
        </w:trPr>
        <w:tc>
          <w:tcPr>
            <w:tcW w:type="dxa" w:w="393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Implementation / configuration</w:t>
            </w:r>
          </w:p>
        </w:tc>
        <w:tc>
          <w:tcPr>
            <w:tcW w:type="dxa" w:w="1616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3654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93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Cleansing / migration / interfaces</w:t>
            </w:r>
          </w:p>
        </w:tc>
        <w:tc>
          <w:tcPr>
            <w:tcW w:type="dxa" w:w="1616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3654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93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Licensing / operations / support</w:t>
            </w:r>
          </w:p>
        </w:tc>
        <w:tc>
          <w:tcPr>
            <w:tcW w:type="dxa" w:w="1616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3654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93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Training / other expenditure</w:t>
            </w:r>
          </w:p>
        </w:tc>
        <w:tc>
          <w:tcPr>
            <w:tcW w:type="dxa" w:w="1616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3654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935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Exit / handover / archiving</w:t>
            </w:r>
          </w:p>
        </w:tc>
        <w:tc>
          <w:tcPr>
            <w:tcW w:type="dxa" w:w="1616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1616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3654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3935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Internal project capacity</w:t>
            </w:r>
          </w:p>
        </w:tc>
        <w:tc>
          <w:tcPr>
            <w:tcW w:type="dxa" w:w="1616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[hours]</w:t>
            </w:r>
          </w:p>
        </w:tc>
        <w:tc>
          <w:tcPr>
            <w:tcW w:type="dxa" w:w="1616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[hours]</w:t>
            </w:r>
          </w:p>
        </w:tc>
        <w:tc>
          <w:tcPr>
            <w:tcW w:type="dxa" w:w="1616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[hours]</w:t>
            </w:r>
          </w:p>
        </w:tc>
        <w:tc>
          <w:tcPr>
            <w:tcW w:type="dxa" w:w="1616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[hours]</w:t>
            </w:r>
          </w:p>
        </w:tc>
        <w:tc>
          <w:tcPr>
            <w:tcW w:type="dxa" w:w="365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[role / rate]</w:t>
            </w:r>
          </w:p>
        </w:tc>
      </w:tr>
    </w:tbl>
    <w:p>
      <w:pPr>
        <w:spacing w:after="0"/>
      </w:pPr>
    </w:p>
    <w:p>
      <w:pPr>
        <w:ind w:right="1800"/>
      </w:pPr>
      <w:r>
        <w:rPr>
          <w:rFonts w:ascii="Arial" w:hAnsi="Arial"/>
        </w:rPr>
        <w:t>Show internal hours separately from cash flows. If valued in a full-cost comparison, label that comparison explicitly.</w:t>
      </w:r>
    </w:p>
    <w:p>
      <w:pPr>
        <w:pStyle w:val="Heading1"/>
      </w:pPr>
      <w:r>
        <w:rPr>
          <w:rFonts w:ascii="Arial" w:hAnsi="Arial"/>
          <w:color w:val="000000"/>
        </w:rPr>
        <w:t>Benefits and calculations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5341"/>
        <w:gridCol w:w="8714"/>
      </w:tblGrid>
      <w:tr>
        <w:trPr>
          <w:cantSplit/>
          <w:tblHeader w:val="true"/>
        </w:trPr>
        <w:tc>
          <w:tcPr>
            <w:tcW w:type="dxa" w:w="534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8714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Calculation / entry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Current annual process hours A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Future annual process hours B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Additional annual maintenance / administration C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[enter]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Net capacity released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 − B − C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Internal hourly rate D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[EUR per hour and basis]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Capacity value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(A − B − C) × D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Annual expenditure actually removed E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[EUR and supporting evidence]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Additional annual recurring expenditure F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[EUR from cost schedule]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Annual net cash effect</w:t>
            </w:r>
          </w:p>
        </w:tc>
        <w:tc>
          <w:tcPr>
            <w:tcW w:type="dxa" w:w="8714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E − F</w:t>
            </w:r>
          </w:p>
        </w:tc>
      </w:tr>
      <w:tr>
        <w:trPr>
          <w:cantSplit/>
        </w:trPr>
        <w:tc>
          <w:tcPr>
            <w:tcW w:type="dxa" w:w="534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One-off net cash cost I</w:t>
            </w:r>
          </w:p>
        </w:tc>
        <w:tc>
          <w:tcPr>
            <w:tcW w:type="dxa" w:w="8714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[EUR from cost schedule and timing]</w:t>
            </w:r>
          </w:p>
        </w:tc>
      </w:tr>
    </w:tbl>
    <w:p>
      <w:pPr>
        <w:spacing w:after="0"/>
      </w:pPr>
    </w:p>
    <w:p>
      <w:pPr>
        <w:ind w:right="1800"/>
      </w:pPr>
      <w:r>
        <w:rPr>
          <w:rFonts w:ascii="Arial" w:hAnsi="Arial"/>
        </w:rPr>
        <w:t>Do not count capacity value as a second monetary benefit alongside the same cash savings. Positive time savings can coincide with zero cash-budget savings where salaries continue.</w:t>
      </w:r>
    </w:p>
    <w:p>
      <w:pPr>
        <w:pStyle w:val="Heading1"/>
      </w:pPr>
      <w:r>
        <w:rPr>
          <w:rFonts w:ascii="Arial" w:hAnsi="Arial"/>
          <w:color w:val="000000"/>
        </w:rPr>
        <w:t>Scenarios and decision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bottom w:w="85" w:type="dxa"/>
          <w:left w:w="90" w:type="dxa"/>
          <w:right w:w="90" w:type="dxa"/>
        </w:tblCellMar>
      </w:tblPr>
      <w:tblGrid>
        <w:gridCol w:w="5622"/>
        <w:gridCol w:w="2811"/>
        <w:gridCol w:w="2811"/>
        <w:gridCol w:w="2811"/>
      </w:tblGrid>
      <w:tr>
        <w:trPr>
          <w:cantSplit/>
          <w:tblHeader w:val="true"/>
        </w:trPr>
        <w:tc>
          <w:tcPr>
            <w:tcW w:type="dxa" w:w="5622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Assumption / result</w:t>
            </w:r>
          </w:p>
        </w:tc>
        <w:tc>
          <w:tcPr>
            <w:tcW w:type="dxa" w:w="281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Cautious</w:t>
            </w:r>
          </w:p>
        </w:tc>
        <w:tc>
          <w:tcPr>
            <w:tcW w:type="dxa" w:w="281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Expected</w:t>
            </w:r>
          </w:p>
        </w:tc>
        <w:tc>
          <w:tcPr>
            <w:tcW w:type="dxa" w:w="2811"/>
            <w:vAlign w:val="center"/>
            <w:shd w:fill="222222"/>
          </w:tcPr>
          <w:p>
            <w:pPr>
              <w:keepNext/>
              <w:spacing w:after="0" w:before="0" w:line="264" w:lineRule="auto"/>
            </w:pPr>
            <w:r>
              <w:rPr>
                <w:rFonts w:ascii="Arial" w:hAnsi="Arial"/>
                <w:b/>
                <w:color w:val="FFFFFF"/>
                <w:sz w:val="20"/>
              </w:rPr>
              <w:t>Favourable</w:t>
            </w:r>
          </w:p>
        </w:tc>
      </w:tr>
      <w:tr>
        <w:trPr>
          <w:cantSplit/>
        </w:trPr>
        <w:tc>
          <w:tcPr>
            <w:tcW w:type="dxa" w:w="562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Time to productive use</w:t>
            </w:r>
          </w:p>
        </w:tc>
        <w:tc>
          <w:tcPr>
            <w:tcW w:type="dxa" w:w="281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[months]</w:t>
            </w:r>
          </w:p>
        </w:tc>
        <w:tc>
          <w:tcPr>
            <w:tcW w:type="dxa" w:w="281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[months]</w:t>
            </w:r>
          </w:p>
        </w:tc>
        <w:tc>
          <w:tcPr>
            <w:tcW w:type="dxa" w:w="281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[months]</w:t>
            </w:r>
          </w:p>
        </w:tc>
      </w:tr>
      <w:tr>
        <w:trPr>
          <w:cantSplit/>
        </w:trPr>
        <w:tc>
          <w:tcPr>
            <w:tcW w:type="dxa" w:w="562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Actual adoption</w:t>
            </w:r>
          </w:p>
        </w:tc>
        <w:tc>
          <w:tcPr>
            <w:tcW w:type="dxa" w:w="2811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[% of planned scope]</w:t>
            </w:r>
          </w:p>
        </w:tc>
        <w:tc>
          <w:tcPr>
            <w:tcW w:type="dxa" w:w="2811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[%]</w:t>
            </w:r>
          </w:p>
        </w:tc>
        <w:tc>
          <w:tcPr>
            <w:tcW w:type="dxa" w:w="2811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[%]</w:t>
            </w:r>
          </w:p>
        </w:tc>
      </w:tr>
      <w:tr>
        <w:trPr>
          <w:cantSplit/>
        </w:trPr>
        <w:tc>
          <w:tcPr>
            <w:tcW w:type="dxa" w:w="562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Remaining process and maintenance effort</w:t>
            </w:r>
          </w:p>
        </w:tc>
        <w:tc>
          <w:tcPr>
            <w:tcW w:type="dxa" w:w="281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[hours]</w:t>
            </w:r>
          </w:p>
        </w:tc>
        <w:tc>
          <w:tcPr>
            <w:tcW w:type="dxa" w:w="281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[hours]</w:t>
            </w:r>
          </w:p>
        </w:tc>
        <w:tc>
          <w:tcPr>
            <w:tcW w:type="dxa" w:w="2811"/>
            <w:vAlign w:val="center"/>
            <w:shd w:fill="FFFFFF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[hours]</w:t>
            </w:r>
          </w:p>
        </w:tc>
      </w:tr>
      <w:tr>
        <w:trPr>
          <w:cantSplit/>
        </w:trPr>
        <w:tc>
          <w:tcPr>
            <w:tcW w:type="dxa" w:w="5622"/>
            <w:vAlign w:val="center"/>
            <w:shd w:fill="F4F5F5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Recurring expenditure</w:t>
            </w:r>
          </w:p>
        </w:tc>
        <w:tc>
          <w:tcPr>
            <w:tcW w:type="dxa" w:w="2811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2811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  <w:tc>
          <w:tcPr>
            <w:tcW w:type="dxa" w:w="2811"/>
            <w:vAlign w:val="center"/>
            <w:shd w:fill="F4F5F5"/>
          </w:tcPr>
          <w:p>
            <w:pPr>
              <w:spacing w:after="0" w:before="0" w:line="264" w:lineRule="auto"/>
              <w:jc w:val="center"/>
            </w:pPr>
            <w:r>
              <w:rPr>
                <w:rFonts w:ascii="Arial" w:hAnsi="Arial"/>
                <w:color w:val="111111"/>
                <w:sz w:val="20"/>
              </w:rPr>
              <w:t>[EUR]</w:t>
            </w:r>
          </w:p>
        </w:tc>
      </w:tr>
      <w:tr>
        <w:trPr>
          <w:cantSplit/>
        </w:trPr>
        <w:tc>
          <w:tcPr>
            <w:tcW w:type="dxa" w:w="5622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Cumulative net cash effect</w:t>
            </w:r>
          </w:p>
        </w:tc>
        <w:tc>
          <w:tcPr>
            <w:tcW w:type="dxa" w:w="281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[EUR per year]</w:t>
            </w:r>
          </w:p>
        </w:tc>
        <w:tc>
          <w:tcPr>
            <w:tcW w:type="dxa" w:w="281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[EUR per year]</w:t>
            </w:r>
          </w:p>
        </w:tc>
        <w:tc>
          <w:tcPr>
            <w:tcW w:type="dxa" w:w="2811"/>
            <w:vAlign w:val="center"/>
            <w:shd w:fill="FFFFFF"/>
          </w:tcPr>
          <w:p>
            <w:pPr>
              <w:spacing w:after="0" w:before="0" w:line="264" w:lineRule="auto"/>
            </w:pPr>
            <w:r>
              <w:rPr>
                <w:rFonts w:ascii="Arial" w:hAnsi="Arial"/>
                <w:color w:val="111111"/>
                <w:sz w:val="20"/>
              </w:rPr>
              <w:t>[EUR per year]</w:t>
            </w:r>
          </w:p>
        </w:tc>
      </w:tr>
    </w:tbl>
    <w:p>
      <w:pPr>
        <w:spacing w:after="0"/>
      </w:pPr>
    </w:p>
    <w:p>
      <w:pPr>
        <w:ind w:right="1800"/>
      </w:pPr>
      <w:r>
        <w:rPr>
          <w:rFonts w:ascii="Arial" w:hAnsi="Arial"/>
        </w:rPr>
        <w:t>With a constant positive annual net cash benefit, simple payback can be calculated as I ÷ (E − F). A zero or negative benefit gives no positive payback on this basis. For changing annual amounts, determine when cumulative cash flow first becomes non-negative. If discounting is used, apply the same rate and timing conventions to all options.</w:t>
      </w:r>
    </w:p>
    <w:p>
      <w:pPr>
        <w:ind w:right="1800"/>
      </w:pPr>
      <w:r>
        <w:rPr>
          <w:rFonts w:ascii="Arial" w:hAnsi="Arial"/>
        </w:rPr>
        <w:t>Non-monetary outcomes: [data quality / evidence retrieval / closure of overdue actions]</w:t>
        <w:br/>
        <w:t>Measure, baseline and target for each outcome: [enter]</w:t>
        <w:br/>
        <w:t>Owners and measurement date: [enter]</w:t>
        <w:br/>
        <w:t>Decision including budget, scope and stopping criteria: [enter]</w:t>
      </w:r>
    </w:p>
    <w:p>
      <w:pPr>
        <w:pStyle w:val="Heading1"/>
      </w:pPr>
      <w:r>
        <w:rPr>
          <w:rFonts w:ascii="Arial" w:hAnsi="Arial"/>
          <w:color w:val="000000"/>
        </w:rPr>
        <w:t>Regulatory context</w:t>
      </w:r>
    </w:p>
    <w:p>
      <w:pPr>
        <w:ind w:right="1800"/>
      </w:pPr>
      <w:hyperlink r:id="rId11">
        <w:r>
          <w:rPr>
            <w:rFonts w:ascii="Arial" w:hAnsi="Arial"/>
            <w:color w:val="047857"/>
            <w:u w:val="single"/>
          </w:rPr>
          <w:t xml:space="preserve">MaRisk</w:t>
        </w:r>
      </w:hyperlink>
      <w:r>
        <w:rPr>
          <w:rFonts w:ascii="Arial" w:hAnsi="Arial"/>
        </w:rPr>
        <w:t xml:space="preserve"> and </w:t>
      </w:r>
      <w:hyperlink r:id="rId12">
        <w:r>
          <w:rPr>
            <w:rFonts w:ascii="Arial" w:hAnsi="Arial"/>
            <w:color w:val="047857"/>
            <w:u w:val="single"/>
          </w:rPr>
          <w:t xml:space="preserve">DORA</w:t>
        </w:r>
      </w:hyperlink>
      <w:r>
        <w:rPr>
          <w:rFonts w:ascii="Arial" w:hAnsi="Arial"/>
        </w:rPr>
        <w:t xml:space="preserve"> require appropriate processes and responsibilities. This worksheet compares implementation economically; it does not assume that buying software is a statutory requirement.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965" w:right="893" w:bottom="893" w:left="893" w:header="346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/>
        <w:color w:val="666666"/>
        <w:sz w:val="17"/>
      </w:rPr>
      <w:t xml:space="preserve">T-NEX  · 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inline xmlns:a="http://schemas.openxmlformats.org/drawingml/2006/main" xmlns:pic="http://schemas.openxmlformats.org/drawingml/2006/picture">
          <wp:extent cx="155448" cy="138793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tnex-chevro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5448" cy="138793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/>
        <w:color w:val="000000"/>
        <w:sz w:val="21"/>
      </w:rPr>
      <w:t xml:space="preserve"> T-NEX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140" w:line="264" w:lineRule="auto"/>
    </w:pPr>
    <w:rPr>
      <w:rFonts w:ascii="Arial" w:hAnsi="Arial"/>
      <w:color w:val="000000"/>
      <w:sz w:val="21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 w:line="26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60" w:after="140" w:line="26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60" w:after="140" w:line="264" w:lineRule="auto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60" w:line="264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40" w:line="264" w:lineRule="auto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1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bundesbank.de/resource/blob/825336/866a68577eb35afee82fbe60c39a4f87/472B63F073F071307366337C94F8C870/2026-06-30-rundschreiben-data.pdf" TargetMode="External"/><Relationship Id="rId12" Type="http://schemas.openxmlformats.org/officeDocument/2006/relationships/hyperlink" Target="https://eur-lex.europa.eu/eli/reg/2022/2554/oj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GRC software business case worksheet</dc:title>
  <dc:subject>T-NEX working material</dc:subject>
  <dc:creator>T-NEX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