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Arial" w:hAnsi="Arial"/>
          <w:color w:val="000000"/>
        </w:rPr>
        <w:t>GRC-Software: Business-Case-Arbeitsblatt</w:t>
      </w:r>
    </w:p>
    <w:p>
      <w:pPr>
        <w:ind w:right="1800"/>
      </w:pPr>
      <w:r>
        <w:rPr>
          <w:rFonts w:ascii="Arial" w:hAnsi="Arial"/>
        </w:rPr>
        <w:t>Version: 11.09.2026. Eigene Rechenstruktur zur manuellen Befüllung, kein automatischer Kalkulator.</w:t>
      </w:r>
    </w:p>
    <w:p>
      <w:pPr>
        <w:pStyle w:val="Heading1"/>
      </w:pPr>
      <w:r>
        <w:rPr>
          <w:rFonts w:ascii="Arial" w:hAnsi="Arial"/>
          <w:color w:val="000000"/>
        </w:rPr>
        <w:t>Entscheidungsrahmen</w:t>
      </w:r>
    </w:p>
    <w:p>
      <w:pPr>
        <w:ind w:right="1800"/>
      </w:pPr>
      <w:r>
        <w:rPr>
          <w:rFonts w:ascii="Arial" w:hAnsi="Arial"/>
        </w:rPr>
        <w:t>Problem und Prozess: [eintragen]</w:t>
        <w:br/>
        <w:t>Gewünschtes Ergebnis: [eintragen]</w:t>
        <w:br/>
        <w:t>Verglichene Optionen: [Weiterbetrieb / Bestand erweitern / neue Lösung]</w:t>
        <w:br/>
        <w:t>Betrachtungszeitraum: [Jahre und Start]</w:t>
        <w:br/>
        <w:t>Preisstand und Währung: [eintragen]</w:t>
        <w:br/>
        <w:t>Umgang mit Umsatzsteuer: [einheitlich für alle Optionen festlegen]</w:t>
      </w:r>
    </w:p>
    <w:p>
      <w:pPr>
        <w:pStyle w:val="Heading1"/>
      </w:pPr>
      <w:r>
        <w:rPr>
          <w:rFonts w:ascii="Arial" w:hAnsi="Arial"/>
          <w:color w:val="000000"/>
        </w:rPr>
        <w:t>Ausgangsaufwand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90" w:type="dxa"/>
          <w:right w:w="90" w:type="dxa"/>
        </w:tblCellMar>
      </w:tblPr>
      <w:tblGrid>
        <w:gridCol w:w="3233"/>
        <w:gridCol w:w="1968"/>
        <w:gridCol w:w="1968"/>
        <w:gridCol w:w="1968"/>
        <w:gridCol w:w="4919"/>
      </w:tblGrid>
      <w:tr>
        <w:trPr>
          <w:cantSplit/>
          <w:tblHeader w:val="true"/>
        </w:trPr>
        <w:tc>
          <w:tcPr>
            <w:tcW w:type="dxa" w:w="3233"/>
            <w:vAlign w:val="center"/>
            <w:shd w:fill="222222"/>
          </w:tcPr>
          <w:p>
            <w:pPr>
              <w:keepNext/>
              <w:spacing w:after="0" w:before="0" w:line="264" w:lineRule="auto"/>
            </w:pPr>
            <w:r>
              <w:rPr>
                <w:rFonts w:ascii="Arial" w:hAnsi="Arial"/>
                <w:b/>
                <w:color w:val="FFFFFF"/>
                <w:sz w:val="20"/>
              </w:rPr>
              <w:t>Prozess</w:t>
            </w:r>
          </w:p>
        </w:tc>
        <w:tc>
          <w:tcPr>
            <w:tcW w:type="dxa" w:w="1968"/>
            <w:vAlign w:val="center"/>
            <w:shd w:fill="222222"/>
          </w:tcPr>
          <w:p>
            <w:pPr>
              <w:keepNext/>
              <w:spacing w:after="0" w:before="0" w:line="264" w:lineRule="auto"/>
            </w:pPr>
            <w:r>
              <w:rPr>
                <w:rFonts w:ascii="Arial" w:hAnsi="Arial"/>
                <w:b/>
                <w:color w:val="FFFFFF"/>
                <w:sz w:val="20"/>
              </w:rPr>
              <w:t>Fälle pro Jahr</w:t>
            </w:r>
          </w:p>
        </w:tc>
        <w:tc>
          <w:tcPr>
            <w:tcW w:type="dxa" w:w="1968"/>
            <w:vAlign w:val="center"/>
            <w:shd w:fill="222222"/>
          </w:tcPr>
          <w:p>
            <w:pPr>
              <w:keepNext/>
              <w:spacing w:after="0" w:before="0" w:line="264" w:lineRule="auto"/>
            </w:pPr>
            <w:r>
              <w:rPr>
                <w:rFonts w:ascii="Arial" w:hAnsi="Arial"/>
                <w:b/>
                <w:color w:val="FFFFFF"/>
                <w:sz w:val="20"/>
              </w:rPr>
              <w:t>Minuten je Fall</w:t>
            </w:r>
          </w:p>
        </w:tc>
        <w:tc>
          <w:tcPr>
            <w:tcW w:type="dxa" w:w="1968"/>
            <w:vAlign w:val="center"/>
            <w:shd w:fill="222222"/>
          </w:tcPr>
          <w:p>
            <w:pPr>
              <w:keepNext/>
              <w:spacing w:after="0" w:before="0" w:line="264" w:lineRule="auto"/>
            </w:pPr>
            <w:r>
              <w:rPr>
                <w:rFonts w:ascii="Arial" w:hAnsi="Arial"/>
                <w:b/>
                <w:color w:val="FFFFFF"/>
                <w:sz w:val="20"/>
              </w:rPr>
              <w:t>Jahresstunden</w:t>
            </w:r>
          </w:p>
        </w:tc>
        <w:tc>
          <w:tcPr>
            <w:tcW w:type="dxa" w:w="4919"/>
            <w:vAlign w:val="center"/>
            <w:shd w:fill="222222"/>
          </w:tcPr>
          <w:p>
            <w:pPr>
              <w:keepNext/>
              <w:spacing w:after="0" w:before="0" w:line="264" w:lineRule="auto"/>
            </w:pPr>
            <w:r>
              <w:rPr>
                <w:rFonts w:ascii="Arial" w:hAnsi="Arial"/>
                <w:b/>
                <w:color w:val="FFFFFF"/>
                <w:sz w:val="20"/>
              </w:rPr>
              <w:t>Messzeitraum / Quelle</w:t>
            </w:r>
          </w:p>
        </w:tc>
      </w:tr>
      <w:tr>
        <w:trPr>
          <w:cantSplit/>
        </w:trPr>
        <w:tc>
          <w:tcPr>
            <w:tcW w:type="dxa" w:w="3233"/>
            <w:vAlign w:val="center"/>
            <w:shd w:fill="FFFFFF"/>
          </w:tcPr>
          <w:p>
            <w:pPr>
              <w:spacing w:after="0" w:before="0" w:line="264" w:lineRule="auto"/>
              <w:jc w:val="center"/>
            </w:pPr>
            <w:r>
              <w:rPr>
                <w:rFonts w:ascii="Arial" w:hAnsi="Arial"/>
                <w:color w:val="111111"/>
                <w:sz w:val="20"/>
              </w:rPr>
              <w:t>[eintragen]</w:t>
            </w:r>
          </w:p>
        </w:tc>
        <w:tc>
          <w:tcPr>
            <w:tcW w:type="dxa" w:w="1968"/>
            <w:vAlign w:val="center"/>
            <w:shd w:fill="FFFFFF"/>
          </w:tcPr>
          <w:p>
            <w:pPr>
              <w:spacing w:after="0" w:before="0" w:line="264" w:lineRule="auto"/>
              <w:jc w:val="center"/>
            </w:pPr>
            <w:r>
              <w:rPr>
                <w:rFonts w:ascii="Arial" w:hAnsi="Arial"/>
                <w:color w:val="111111"/>
                <w:sz w:val="20"/>
              </w:rPr>
              <w:t>[eintragen]</w:t>
            </w:r>
          </w:p>
        </w:tc>
        <w:tc>
          <w:tcPr>
            <w:tcW w:type="dxa" w:w="1968"/>
            <w:vAlign w:val="center"/>
            <w:shd w:fill="FFFFFF"/>
          </w:tcPr>
          <w:p>
            <w:pPr>
              <w:spacing w:after="0" w:before="0" w:line="264" w:lineRule="auto"/>
              <w:jc w:val="center"/>
            </w:pPr>
            <w:r>
              <w:rPr>
                <w:rFonts w:ascii="Arial" w:hAnsi="Arial"/>
                <w:color w:val="111111"/>
                <w:sz w:val="20"/>
              </w:rPr>
              <w:t>[eintragen]</w:t>
            </w:r>
          </w:p>
        </w:tc>
        <w:tc>
          <w:tcPr>
            <w:tcW w:type="dxa" w:w="1968"/>
            <w:vAlign w:val="center"/>
            <w:shd w:fill="FFFFFF"/>
          </w:tcPr>
          <w:p>
            <w:pPr>
              <w:spacing w:after="0" w:before="0" w:line="264" w:lineRule="auto"/>
            </w:pPr>
            <w:r>
              <w:rPr>
                <w:rFonts w:ascii="Arial" w:hAnsi="Arial"/>
                <w:color w:val="111111"/>
                <w:sz w:val="20"/>
              </w:rPr>
              <w:t>Fälle × Minuten ÷ 60</w:t>
            </w:r>
          </w:p>
        </w:tc>
        <w:tc>
          <w:tcPr>
            <w:tcW w:type="dxa" w:w="4919"/>
            <w:vAlign w:val="center"/>
            <w:shd w:fill="FFFFFF"/>
          </w:tcPr>
          <w:p>
            <w:pPr>
              <w:spacing w:after="0" w:before="0" w:line="264" w:lineRule="auto"/>
              <w:jc w:val="center"/>
            </w:pPr>
            <w:r>
              <w:rPr>
                <w:rFonts w:ascii="Arial" w:hAnsi="Arial"/>
                <w:color w:val="111111"/>
                <w:sz w:val="20"/>
              </w:rPr>
              <w:t>[eintragen]</w:t>
            </w:r>
          </w:p>
        </w:tc>
      </w:tr>
    </w:tbl>
    <w:p>
      <w:pPr>
        <w:spacing w:after="0"/>
      </w:pPr>
    </w:p>
    <w:p>
      <w:pPr>
        <w:ind w:right="1800"/>
      </w:pPr>
      <w:r>
        <w:rPr>
          <w:rFonts w:ascii="Arial" w:hAnsi="Arial"/>
        </w:rPr>
        <w:t>Jahresstunden über alle Prozesse addieren. Wiederkehrende Arbeit und einmalige Prüfungsbegleitung getrennt halten. Doppelte Erfassung gemeinsamer Tätigkeiten vermeiden.</w:t>
      </w:r>
    </w:p>
    <w:p>
      <w:pPr>
        <w:pStyle w:val="Heading1"/>
      </w:pPr>
      <w:r>
        <w:rPr>
          <w:rFonts w:ascii="Arial" w:hAnsi="Arial"/>
          <w:color w:val="000000"/>
        </w:rPr>
        <w:t>Kosten je Alternative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90" w:type="dxa"/>
          <w:right w:w="90" w:type="dxa"/>
        </w:tblCellMar>
      </w:tblPr>
      <w:tblGrid>
        <w:gridCol w:w="3935"/>
        <w:gridCol w:w="1616"/>
        <w:gridCol w:w="1616"/>
        <w:gridCol w:w="1616"/>
        <w:gridCol w:w="1616"/>
        <w:gridCol w:w="3654"/>
      </w:tblGrid>
      <w:tr>
        <w:trPr>
          <w:cantSplit/>
          <w:tblHeader w:val="true"/>
        </w:trPr>
        <w:tc>
          <w:tcPr>
            <w:tcW w:type="dxa" w:w="3935"/>
            <w:vAlign w:val="center"/>
            <w:shd w:fill="222222"/>
          </w:tcPr>
          <w:p>
            <w:pPr>
              <w:keepNext/>
              <w:spacing w:after="0" w:before="0" w:line="264" w:lineRule="auto"/>
            </w:pPr>
            <w:r>
              <w:rPr>
                <w:rFonts w:ascii="Arial" w:hAnsi="Arial"/>
                <w:b/>
                <w:color w:val="FFFFFF"/>
                <w:sz w:val="20"/>
              </w:rPr>
              <w:t>Kostenblock</w:t>
            </w:r>
          </w:p>
        </w:tc>
        <w:tc>
          <w:tcPr>
            <w:tcW w:type="dxa" w:w="1616"/>
            <w:vAlign w:val="center"/>
            <w:shd w:fill="222222"/>
          </w:tcPr>
          <w:p>
            <w:pPr>
              <w:keepNext/>
              <w:spacing w:after="0" w:before="0" w:line="264" w:lineRule="auto"/>
            </w:pPr>
            <w:r>
              <w:rPr>
                <w:rFonts w:ascii="Arial" w:hAnsi="Arial"/>
                <w:b/>
                <w:color w:val="FFFFFF"/>
                <w:sz w:val="20"/>
              </w:rPr>
              <w:t>Jahr 0</w:t>
            </w:r>
          </w:p>
        </w:tc>
        <w:tc>
          <w:tcPr>
            <w:tcW w:type="dxa" w:w="1616"/>
            <w:vAlign w:val="center"/>
            <w:shd w:fill="222222"/>
          </w:tcPr>
          <w:p>
            <w:pPr>
              <w:keepNext/>
              <w:spacing w:after="0" w:before="0" w:line="264" w:lineRule="auto"/>
            </w:pPr>
            <w:r>
              <w:rPr>
                <w:rFonts w:ascii="Arial" w:hAnsi="Arial"/>
                <w:b/>
                <w:color w:val="FFFFFF"/>
                <w:sz w:val="20"/>
              </w:rPr>
              <w:t>Jahr 1</w:t>
            </w:r>
          </w:p>
        </w:tc>
        <w:tc>
          <w:tcPr>
            <w:tcW w:type="dxa" w:w="1616"/>
            <w:vAlign w:val="center"/>
            <w:shd w:fill="222222"/>
          </w:tcPr>
          <w:p>
            <w:pPr>
              <w:keepNext/>
              <w:spacing w:after="0" w:before="0" w:line="264" w:lineRule="auto"/>
            </w:pPr>
            <w:r>
              <w:rPr>
                <w:rFonts w:ascii="Arial" w:hAnsi="Arial"/>
                <w:b/>
                <w:color w:val="FFFFFF"/>
                <w:sz w:val="20"/>
              </w:rPr>
              <w:t>Jahr 2</w:t>
            </w:r>
          </w:p>
        </w:tc>
        <w:tc>
          <w:tcPr>
            <w:tcW w:type="dxa" w:w="1616"/>
            <w:vAlign w:val="center"/>
            <w:shd w:fill="222222"/>
          </w:tcPr>
          <w:p>
            <w:pPr>
              <w:keepNext/>
              <w:spacing w:after="0" w:before="0" w:line="264" w:lineRule="auto"/>
            </w:pPr>
            <w:r>
              <w:rPr>
                <w:rFonts w:ascii="Arial" w:hAnsi="Arial"/>
                <w:b/>
                <w:color w:val="FFFFFF"/>
                <w:sz w:val="20"/>
              </w:rPr>
              <w:t>Jahr 3</w:t>
            </w:r>
          </w:p>
        </w:tc>
        <w:tc>
          <w:tcPr>
            <w:tcW w:type="dxa" w:w="3654"/>
            <w:vAlign w:val="center"/>
            <w:shd w:fill="222222"/>
          </w:tcPr>
          <w:p>
            <w:pPr>
              <w:keepNext/>
              <w:spacing w:after="0" w:before="0" w:line="264" w:lineRule="auto"/>
            </w:pPr>
            <w:r>
              <w:rPr>
                <w:rFonts w:ascii="Arial" w:hAnsi="Arial"/>
                <w:b/>
                <w:color w:val="FFFFFF"/>
                <w:sz w:val="20"/>
              </w:rPr>
              <w:t>Angebot / Annahme</w:t>
            </w:r>
          </w:p>
        </w:tc>
      </w:tr>
      <w:tr>
        <w:trPr>
          <w:cantSplit/>
        </w:trPr>
        <w:tc>
          <w:tcPr>
            <w:tcW w:type="dxa" w:w="3935"/>
            <w:vAlign w:val="center"/>
            <w:shd w:fill="FFFFFF"/>
          </w:tcPr>
          <w:p>
            <w:pPr>
              <w:spacing w:after="0" w:before="0" w:line="264" w:lineRule="auto"/>
            </w:pPr>
            <w:r>
              <w:rPr>
                <w:rFonts w:ascii="Arial" w:hAnsi="Arial"/>
                <w:color w:val="111111"/>
                <w:sz w:val="20"/>
              </w:rPr>
              <w:t>Einführung / Konfiguration</w:t>
            </w:r>
          </w:p>
        </w:tc>
        <w:tc>
          <w:tcPr>
            <w:tcW w:type="dxa" w:w="1616"/>
            <w:vAlign w:val="center"/>
            <w:shd w:fill="FFFFFF"/>
          </w:tcPr>
          <w:p>
            <w:pPr>
              <w:spacing w:after="0" w:before="0" w:line="264" w:lineRule="auto"/>
              <w:jc w:val="center"/>
            </w:pPr>
            <w:r>
              <w:rPr>
                <w:rFonts w:ascii="Arial" w:hAnsi="Arial"/>
                <w:color w:val="111111"/>
                <w:sz w:val="20"/>
              </w:rPr>
              <w:t>[€]</w:t>
            </w:r>
          </w:p>
        </w:tc>
        <w:tc>
          <w:tcPr>
            <w:tcW w:type="dxa" w:w="1616"/>
            <w:vAlign w:val="center"/>
            <w:shd w:fill="FFFFFF"/>
          </w:tcPr>
          <w:p>
            <w:pPr>
              <w:spacing w:after="0" w:before="0" w:line="264" w:lineRule="auto"/>
              <w:jc w:val="center"/>
            </w:pPr>
            <w:r>
              <w:rPr>
                <w:rFonts w:ascii="Arial" w:hAnsi="Arial"/>
                <w:color w:val="111111"/>
                <w:sz w:val="20"/>
              </w:rPr>
              <w:t>[€]</w:t>
            </w:r>
          </w:p>
        </w:tc>
        <w:tc>
          <w:tcPr>
            <w:tcW w:type="dxa" w:w="1616"/>
            <w:vAlign w:val="center"/>
            <w:shd w:fill="FFFFFF"/>
          </w:tcPr>
          <w:p>
            <w:pPr>
              <w:spacing w:after="0" w:before="0" w:line="264" w:lineRule="auto"/>
              <w:jc w:val="center"/>
            </w:pPr>
            <w:r>
              <w:rPr>
                <w:rFonts w:ascii="Arial" w:hAnsi="Arial"/>
                <w:color w:val="111111"/>
                <w:sz w:val="20"/>
              </w:rPr>
              <w:t>[€]</w:t>
            </w:r>
          </w:p>
        </w:tc>
        <w:tc>
          <w:tcPr>
            <w:tcW w:type="dxa" w:w="1616"/>
            <w:vAlign w:val="center"/>
            <w:shd w:fill="FFFFFF"/>
          </w:tcPr>
          <w:p>
            <w:pPr>
              <w:spacing w:after="0" w:before="0" w:line="264" w:lineRule="auto"/>
              <w:jc w:val="center"/>
            </w:pPr>
            <w:r>
              <w:rPr>
                <w:rFonts w:ascii="Arial" w:hAnsi="Arial"/>
                <w:color w:val="111111"/>
                <w:sz w:val="20"/>
              </w:rPr>
              <w:t>[€]</w:t>
            </w:r>
          </w:p>
        </w:tc>
        <w:tc>
          <w:tcPr>
            <w:tcW w:type="dxa" w:w="3654"/>
            <w:vAlign w:val="center"/>
            <w:shd w:fill="FFFFFF"/>
          </w:tcPr>
          <w:p>
            <w:pPr>
              <w:spacing w:after="0" w:before="0" w:line="264" w:lineRule="auto"/>
              <w:jc w:val="center"/>
            </w:pPr>
            <w:r>
              <w:rPr>
                <w:rFonts w:ascii="Arial" w:hAnsi="Arial"/>
                <w:color w:val="111111"/>
                <w:sz w:val="20"/>
              </w:rPr>
              <w:t>[eintragen]</w:t>
            </w:r>
          </w:p>
        </w:tc>
      </w:tr>
      <w:tr>
        <w:trPr>
          <w:cantSplit/>
        </w:trPr>
        <w:tc>
          <w:tcPr>
            <w:tcW w:type="dxa" w:w="3935"/>
            <w:vAlign w:val="center"/>
            <w:shd w:fill="F4F5F5"/>
          </w:tcPr>
          <w:p>
            <w:pPr>
              <w:spacing w:after="0" w:before="0" w:line="264" w:lineRule="auto"/>
            </w:pPr>
            <w:r>
              <w:rPr>
                <w:rFonts w:ascii="Arial" w:hAnsi="Arial"/>
                <w:color w:val="111111"/>
                <w:sz w:val="20"/>
              </w:rPr>
              <w:t>Datenbereinigung / Migration / Schnittstellen</w:t>
            </w:r>
          </w:p>
        </w:tc>
        <w:tc>
          <w:tcPr>
            <w:tcW w:type="dxa" w:w="1616"/>
            <w:vAlign w:val="center"/>
            <w:shd w:fill="F4F5F5"/>
          </w:tcPr>
          <w:p>
            <w:pPr>
              <w:spacing w:after="0" w:before="0" w:line="264" w:lineRule="auto"/>
              <w:jc w:val="center"/>
            </w:pPr>
            <w:r>
              <w:rPr>
                <w:rFonts w:ascii="Arial" w:hAnsi="Arial"/>
                <w:color w:val="111111"/>
                <w:sz w:val="20"/>
              </w:rPr>
              <w:t>[€]</w:t>
            </w:r>
          </w:p>
        </w:tc>
        <w:tc>
          <w:tcPr>
            <w:tcW w:type="dxa" w:w="1616"/>
            <w:vAlign w:val="center"/>
            <w:shd w:fill="F4F5F5"/>
          </w:tcPr>
          <w:p>
            <w:pPr>
              <w:spacing w:after="0" w:before="0" w:line="264" w:lineRule="auto"/>
              <w:jc w:val="center"/>
            </w:pPr>
            <w:r>
              <w:rPr>
                <w:rFonts w:ascii="Arial" w:hAnsi="Arial"/>
                <w:color w:val="111111"/>
                <w:sz w:val="20"/>
              </w:rPr>
              <w:t>[€]</w:t>
            </w:r>
          </w:p>
        </w:tc>
        <w:tc>
          <w:tcPr>
            <w:tcW w:type="dxa" w:w="1616"/>
            <w:vAlign w:val="center"/>
            <w:shd w:fill="F4F5F5"/>
          </w:tcPr>
          <w:p>
            <w:pPr>
              <w:spacing w:after="0" w:before="0" w:line="264" w:lineRule="auto"/>
              <w:jc w:val="center"/>
            </w:pPr>
            <w:r>
              <w:rPr>
                <w:rFonts w:ascii="Arial" w:hAnsi="Arial"/>
                <w:color w:val="111111"/>
                <w:sz w:val="20"/>
              </w:rPr>
              <w:t>[€]</w:t>
            </w:r>
          </w:p>
        </w:tc>
        <w:tc>
          <w:tcPr>
            <w:tcW w:type="dxa" w:w="1616"/>
            <w:vAlign w:val="center"/>
            <w:shd w:fill="F4F5F5"/>
          </w:tcPr>
          <w:p>
            <w:pPr>
              <w:spacing w:after="0" w:before="0" w:line="264" w:lineRule="auto"/>
              <w:jc w:val="center"/>
            </w:pPr>
            <w:r>
              <w:rPr>
                <w:rFonts w:ascii="Arial" w:hAnsi="Arial"/>
                <w:color w:val="111111"/>
                <w:sz w:val="20"/>
              </w:rPr>
              <w:t>[€]</w:t>
            </w:r>
          </w:p>
        </w:tc>
        <w:tc>
          <w:tcPr>
            <w:tcW w:type="dxa" w:w="3654"/>
            <w:vAlign w:val="center"/>
            <w:shd w:fill="F4F5F5"/>
          </w:tcPr>
          <w:p>
            <w:pPr>
              <w:spacing w:after="0" w:before="0" w:line="264" w:lineRule="auto"/>
              <w:jc w:val="center"/>
            </w:pPr>
            <w:r>
              <w:rPr>
                <w:rFonts w:ascii="Arial" w:hAnsi="Arial"/>
                <w:color w:val="111111"/>
                <w:sz w:val="20"/>
              </w:rPr>
              <w:t>[eintragen]</w:t>
            </w:r>
          </w:p>
        </w:tc>
      </w:tr>
      <w:tr>
        <w:trPr>
          <w:cantSplit/>
        </w:trPr>
        <w:tc>
          <w:tcPr>
            <w:tcW w:type="dxa" w:w="3935"/>
            <w:vAlign w:val="center"/>
            <w:shd w:fill="FFFFFF"/>
          </w:tcPr>
          <w:p>
            <w:pPr>
              <w:spacing w:after="0" w:before="0" w:line="264" w:lineRule="auto"/>
            </w:pPr>
            <w:r>
              <w:rPr>
                <w:rFonts w:ascii="Arial" w:hAnsi="Arial"/>
                <w:color w:val="111111"/>
                <w:sz w:val="20"/>
              </w:rPr>
              <w:t>Lizenz / Betrieb / Service</w:t>
            </w:r>
          </w:p>
        </w:tc>
        <w:tc>
          <w:tcPr>
            <w:tcW w:type="dxa" w:w="1616"/>
            <w:vAlign w:val="center"/>
            <w:shd w:fill="FFFFFF"/>
          </w:tcPr>
          <w:p>
            <w:pPr>
              <w:spacing w:after="0" w:before="0" w:line="264" w:lineRule="auto"/>
              <w:jc w:val="center"/>
            </w:pPr>
            <w:r>
              <w:rPr>
                <w:rFonts w:ascii="Arial" w:hAnsi="Arial"/>
                <w:color w:val="111111"/>
                <w:sz w:val="20"/>
              </w:rPr>
              <w:t>[€]</w:t>
            </w:r>
          </w:p>
        </w:tc>
        <w:tc>
          <w:tcPr>
            <w:tcW w:type="dxa" w:w="1616"/>
            <w:vAlign w:val="center"/>
            <w:shd w:fill="FFFFFF"/>
          </w:tcPr>
          <w:p>
            <w:pPr>
              <w:spacing w:after="0" w:before="0" w:line="264" w:lineRule="auto"/>
              <w:jc w:val="center"/>
            </w:pPr>
            <w:r>
              <w:rPr>
                <w:rFonts w:ascii="Arial" w:hAnsi="Arial"/>
                <w:color w:val="111111"/>
                <w:sz w:val="20"/>
              </w:rPr>
              <w:t>[€]</w:t>
            </w:r>
          </w:p>
        </w:tc>
        <w:tc>
          <w:tcPr>
            <w:tcW w:type="dxa" w:w="1616"/>
            <w:vAlign w:val="center"/>
            <w:shd w:fill="FFFFFF"/>
          </w:tcPr>
          <w:p>
            <w:pPr>
              <w:spacing w:after="0" w:before="0" w:line="264" w:lineRule="auto"/>
              <w:jc w:val="center"/>
            </w:pPr>
            <w:r>
              <w:rPr>
                <w:rFonts w:ascii="Arial" w:hAnsi="Arial"/>
                <w:color w:val="111111"/>
                <w:sz w:val="20"/>
              </w:rPr>
              <w:t>[€]</w:t>
            </w:r>
          </w:p>
        </w:tc>
        <w:tc>
          <w:tcPr>
            <w:tcW w:type="dxa" w:w="1616"/>
            <w:vAlign w:val="center"/>
            <w:shd w:fill="FFFFFF"/>
          </w:tcPr>
          <w:p>
            <w:pPr>
              <w:spacing w:after="0" w:before="0" w:line="264" w:lineRule="auto"/>
              <w:jc w:val="center"/>
            </w:pPr>
            <w:r>
              <w:rPr>
                <w:rFonts w:ascii="Arial" w:hAnsi="Arial"/>
                <w:color w:val="111111"/>
                <w:sz w:val="20"/>
              </w:rPr>
              <w:t>[€]</w:t>
            </w:r>
          </w:p>
        </w:tc>
        <w:tc>
          <w:tcPr>
            <w:tcW w:type="dxa" w:w="3654"/>
            <w:vAlign w:val="center"/>
            <w:shd w:fill="FFFFFF"/>
          </w:tcPr>
          <w:p>
            <w:pPr>
              <w:spacing w:after="0" w:before="0" w:line="264" w:lineRule="auto"/>
              <w:jc w:val="center"/>
            </w:pPr>
            <w:r>
              <w:rPr>
                <w:rFonts w:ascii="Arial" w:hAnsi="Arial"/>
                <w:color w:val="111111"/>
                <w:sz w:val="20"/>
              </w:rPr>
              <w:t>[eintragen]</w:t>
            </w:r>
          </w:p>
        </w:tc>
      </w:tr>
      <w:tr>
        <w:trPr>
          <w:cantSplit/>
        </w:trPr>
        <w:tc>
          <w:tcPr>
            <w:tcW w:type="dxa" w:w="3935"/>
            <w:vAlign w:val="center"/>
            <w:shd w:fill="F4F5F5"/>
          </w:tcPr>
          <w:p>
            <w:pPr>
              <w:spacing w:after="0" w:before="0" w:line="264" w:lineRule="auto"/>
            </w:pPr>
            <w:r>
              <w:rPr>
                <w:rFonts w:ascii="Arial" w:hAnsi="Arial"/>
                <w:color w:val="111111"/>
                <w:sz w:val="20"/>
              </w:rPr>
              <w:t>Training / sonstige Ausgaben</w:t>
            </w:r>
          </w:p>
        </w:tc>
        <w:tc>
          <w:tcPr>
            <w:tcW w:type="dxa" w:w="1616"/>
            <w:vAlign w:val="center"/>
            <w:shd w:fill="F4F5F5"/>
          </w:tcPr>
          <w:p>
            <w:pPr>
              <w:spacing w:after="0" w:before="0" w:line="264" w:lineRule="auto"/>
              <w:jc w:val="center"/>
            </w:pPr>
            <w:r>
              <w:rPr>
                <w:rFonts w:ascii="Arial" w:hAnsi="Arial"/>
                <w:color w:val="111111"/>
                <w:sz w:val="20"/>
              </w:rPr>
              <w:t>[€]</w:t>
            </w:r>
          </w:p>
        </w:tc>
        <w:tc>
          <w:tcPr>
            <w:tcW w:type="dxa" w:w="1616"/>
            <w:vAlign w:val="center"/>
            <w:shd w:fill="F4F5F5"/>
          </w:tcPr>
          <w:p>
            <w:pPr>
              <w:spacing w:after="0" w:before="0" w:line="264" w:lineRule="auto"/>
              <w:jc w:val="center"/>
            </w:pPr>
            <w:r>
              <w:rPr>
                <w:rFonts w:ascii="Arial" w:hAnsi="Arial"/>
                <w:color w:val="111111"/>
                <w:sz w:val="20"/>
              </w:rPr>
              <w:t>[€]</w:t>
            </w:r>
          </w:p>
        </w:tc>
        <w:tc>
          <w:tcPr>
            <w:tcW w:type="dxa" w:w="1616"/>
            <w:vAlign w:val="center"/>
            <w:shd w:fill="F4F5F5"/>
          </w:tcPr>
          <w:p>
            <w:pPr>
              <w:spacing w:after="0" w:before="0" w:line="264" w:lineRule="auto"/>
              <w:jc w:val="center"/>
            </w:pPr>
            <w:r>
              <w:rPr>
                <w:rFonts w:ascii="Arial" w:hAnsi="Arial"/>
                <w:color w:val="111111"/>
                <w:sz w:val="20"/>
              </w:rPr>
              <w:t>[€]</w:t>
            </w:r>
          </w:p>
        </w:tc>
        <w:tc>
          <w:tcPr>
            <w:tcW w:type="dxa" w:w="1616"/>
            <w:vAlign w:val="center"/>
            <w:shd w:fill="F4F5F5"/>
          </w:tcPr>
          <w:p>
            <w:pPr>
              <w:spacing w:after="0" w:before="0" w:line="264" w:lineRule="auto"/>
              <w:jc w:val="center"/>
            </w:pPr>
            <w:r>
              <w:rPr>
                <w:rFonts w:ascii="Arial" w:hAnsi="Arial"/>
                <w:color w:val="111111"/>
                <w:sz w:val="20"/>
              </w:rPr>
              <w:t>[€]</w:t>
            </w:r>
          </w:p>
        </w:tc>
        <w:tc>
          <w:tcPr>
            <w:tcW w:type="dxa" w:w="3654"/>
            <w:vAlign w:val="center"/>
            <w:shd w:fill="F4F5F5"/>
          </w:tcPr>
          <w:p>
            <w:pPr>
              <w:spacing w:after="0" w:before="0" w:line="264" w:lineRule="auto"/>
              <w:jc w:val="center"/>
            </w:pPr>
            <w:r>
              <w:rPr>
                <w:rFonts w:ascii="Arial" w:hAnsi="Arial"/>
                <w:color w:val="111111"/>
                <w:sz w:val="20"/>
              </w:rPr>
              <w:t>[eintragen]</w:t>
            </w:r>
          </w:p>
        </w:tc>
      </w:tr>
      <w:tr>
        <w:trPr>
          <w:cantSplit/>
        </w:trPr>
        <w:tc>
          <w:tcPr>
            <w:tcW w:type="dxa" w:w="3935"/>
            <w:vAlign w:val="center"/>
            <w:shd w:fill="FFFFFF"/>
          </w:tcPr>
          <w:p>
            <w:pPr>
              <w:spacing w:after="0" w:before="0" w:line="264" w:lineRule="auto"/>
            </w:pPr>
            <w:r>
              <w:rPr>
                <w:rFonts w:ascii="Arial" w:hAnsi="Arial"/>
                <w:color w:val="111111"/>
                <w:sz w:val="20"/>
              </w:rPr>
              <w:t>Exit / Übergabe / Archivierung</w:t>
            </w:r>
          </w:p>
        </w:tc>
        <w:tc>
          <w:tcPr>
            <w:tcW w:type="dxa" w:w="1616"/>
            <w:vAlign w:val="center"/>
            <w:shd w:fill="FFFFFF"/>
          </w:tcPr>
          <w:p>
            <w:pPr>
              <w:spacing w:after="0" w:before="0" w:line="264" w:lineRule="auto"/>
              <w:jc w:val="center"/>
            </w:pPr>
            <w:r>
              <w:rPr>
                <w:rFonts w:ascii="Arial" w:hAnsi="Arial"/>
                <w:color w:val="111111"/>
                <w:sz w:val="20"/>
              </w:rPr>
              <w:t>[€]</w:t>
            </w:r>
          </w:p>
        </w:tc>
        <w:tc>
          <w:tcPr>
            <w:tcW w:type="dxa" w:w="1616"/>
            <w:vAlign w:val="center"/>
            <w:shd w:fill="FFFFFF"/>
          </w:tcPr>
          <w:p>
            <w:pPr>
              <w:spacing w:after="0" w:before="0" w:line="264" w:lineRule="auto"/>
              <w:jc w:val="center"/>
            </w:pPr>
            <w:r>
              <w:rPr>
                <w:rFonts w:ascii="Arial" w:hAnsi="Arial"/>
                <w:color w:val="111111"/>
                <w:sz w:val="20"/>
              </w:rPr>
              <w:t>[€]</w:t>
            </w:r>
          </w:p>
        </w:tc>
        <w:tc>
          <w:tcPr>
            <w:tcW w:type="dxa" w:w="1616"/>
            <w:vAlign w:val="center"/>
            <w:shd w:fill="FFFFFF"/>
          </w:tcPr>
          <w:p>
            <w:pPr>
              <w:spacing w:after="0" w:before="0" w:line="264" w:lineRule="auto"/>
              <w:jc w:val="center"/>
            </w:pPr>
            <w:r>
              <w:rPr>
                <w:rFonts w:ascii="Arial" w:hAnsi="Arial"/>
                <w:color w:val="111111"/>
                <w:sz w:val="20"/>
              </w:rPr>
              <w:t>[€]</w:t>
            </w:r>
          </w:p>
        </w:tc>
        <w:tc>
          <w:tcPr>
            <w:tcW w:type="dxa" w:w="1616"/>
            <w:vAlign w:val="center"/>
            <w:shd w:fill="FFFFFF"/>
          </w:tcPr>
          <w:p>
            <w:pPr>
              <w:spacing w:after="0" w:before="0" w:line="264" w:lineRule="auto"/>
              <w:jc w:val="center"/>
            </w:pPr>
            <w:r>
              <w:rPr>
                <w:rFonts w:ascii="Arial" w:hAnsi="Arial"/>
                <w:color w:val="111111"/>
                <w:sz w:val="20"/>
              </w:rPr>
              <w:t>[€]</w:t>
            </w:r>
          </w:p>
        </w:tc>
        <w:tc>
          <w:tcPr>
            <w:tcW w:type="dxa" w:w="3654"/>
            <w:vAlign w:val="center"/>
            <w:shd w:fill="FFFFFF"/>
          </w:tcPr>
          <w:p>
            <w:pPr>
              <w:spacing w:after="0" w:before="0" w:line="264" w:lineRule="auto"/>
              <w:jc w:val="center"/>
            </w:pPr>
            <w:r>
              <w:rPr>
                <w:rFonts w:ascii="Arial" w:hAnsi="Arial"/>
                <w:color w:val="111111"/>
                <w:sz w:val="20"/>
              </w:rPr>
              <w:t>[eintragen]</w:t>
            </w:r>
          </w:p>
        </w:tc>
      </w:tr>
      <w:tr>
        <w:trPr>
          <w:cantSplit/>
        </w:trPr>
        <w:tc>
          <w:tcPr>
            <w:tcW w:type="dxa" w:w="3935"/>
            <w:vAlign w:val="center"/>
            <w:shd w:fill="F4F5F5"/>
          </w:tcPr>
          <w:p>
            <w:pPr>
              <w:spacing w:after="0" w:before="0" w:line="264" w:lineRule="auto"/>
            </w:pPr>
            <w:r>
              <w:rPr>
                <w:rFonts w:ascii="Arial" w:hAnsi="Arial"/>
                <w:color w:val="111111"/>
                <w:sz w:val="20"/>
              </w:rPr>
              <w:t>Interne Projektkapazität</w:t>
            </w:r>
          </w:p>
        </w:tc>
        <w:tc>
          <w:tcPr>
            <w:tcW w:type="dxa" w:w="1616"/>
            <w:vAlign w:val="center"/>
            <w:shd w:fill="F4F5F5"/>
          </w:tcPr>
          <w:p>
            <w:pPr>
              <w:spacing w:after="0" w:before="0" w:line="264" w:lineRule="auto"/>
              <w:jc w:val="center"/>
            </w:pPr>
            <w:r>
              <w:rPr>
                <w:rFonts w:ascii="Arial" w:hAnsi="Arial"/>
                <w:color w:val="111111"/>
                <w:sz w:val="20"/>
              </w:rPr>
              <w:t>[Stunden]</w:t>
            </w:r>
          </w:p>
        </w:tc>
        <w:tc>
          <w:tcPr>
            <w:tcW w:type="dxa" w:w="1616"/>
            <w:vAlign w:val="center"/>
            <w:shd w:fill="F4F5F5"/>
          </w:tcPr>
          <w:p>
            <w:pPr>
              <w:spacing w:after="0" w:before="0" w:line="264" w:lineRule="auto"/>
              <w:jc w:val="center"/>
            </w:pPr>
            <w:r>
              <w:rPr>
                <w:rFonts w:ascii="Arial" w:hAnsi="Arial"/>
                <w:color w:val="111111"/>
                <w:sz w:val="20"/>
              </w:rPr>
              <w:t>[Stunden]</w:t>
            </w:r>
          </w:p>
        </w:tc>
        <w:tc>
          <w:tcPr>
            <w:tcW w:type="dxa" w:w="1616"/>
            <w:vAlign w:val="center"/>
            <w:shd w:fill="F4F5F5"/>
          </w:tcPr>
          <w:p>
            <w:pPr>
              <w:spacing w:after="0" w:before="0" w:line="264" w:lineRule="auto"/>
              <w:jc w:val="center"/>
            </w:pPr>
            <w:r>
              <w:rPr>
                <w:rFonts w:ascii="Arial" w:hAnsi="Arial"/>
                <w:color w:val="111111"/>
                <w:sz w:val="20"/>
              </w:rPr>
              <w:t>[Stunden]</w:t>
            </w:r>
          </w:p>
        </w:tc>
        <w:tc>
          <w:tcPr>
            <w:tcW w:type="dxa" w:w="1616"/>
            <w:vAlign w:val="center"/>
            <w:shd w:fill="F4F5F5"/>
          </w:tcPr>
          <w:p>
            <w:pPr>
              <w:spacing w:after="0" w:before="0" w:line="264" w:lineRule="auto"/>
              <w:jc w:val="center"/>
            </w:pPr>
            <w:r>
              <w:rPr>
                <w:rFonts w:ascii="Arial" w:hAnsi="Arial"/>
                <w:color w:val="111111"/>
                <w:sz w:val="20"/>
              </w:rPr>
              <w:t>[Stunden]</w:t>
            </w:r>
          </w:p>
        </w:tc>
        <w:tc>
          <w:tcPr>
            <w:tcW w:type="dxa" w:w="3654"/>
            <w:vAlign w:val="center"/>
            <w:shd w:fill="F4F5F5"/>
          </w:tcPr>
          <w:p>
            <w:pPr>
              <w:spacing w:after="0" w:before="0" w:line="264" w:lineRule="auto"/>
            </w:pPr>
            <w:r>
              <w:rPr>
                <w:rFonts w:ascii="Arial" w:hAnsi="Arial"/>
                <w:color w:val="111111"/>
                <w:sz w:val="20"/>
              </w:rPr>
              <w:t>[Rolle / Satz]</w:t>
            </w:r>
          </w:p>
        </w:tc>
      </w:tr>
    </w:tbl>
    <w:p>
      <w:pPr>
        <w:spacing w:after="0"/>
      </w:pPr>
    </w:p>
    <w:p>
      <w:pPr>
        <w:ind w:right="1800"/>
      </w:pPr>
      <w:r>
        <w:rPr>
          <w:rFonts w:ascii="Arial" w:hAnsi="Arial"/>
        </w:rPr>
        <w:t>Interne Stunden getrennt von Zahlungsströmen darstellen. Werden sie im Vollkostenvergleich bewertet, diesen Vergleich klar benennen.</w:t>
      </w:r>
    </w:p>
    <w:p>
      <w:pPr>
        <w:pStyle w:val="Heading1"/>
      </w:pPr>
      <w:r>
        <w:rPr>
          <w:rFonts w:ascii="Arial" w:hAnsi="Arial"/>
          <w:color w:val="000000"/>
        </w:rPr>
        <w:t>Nutzen und Rechenweg</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90" w:type="dxa"/>
          <w:right w:w="90" w:type="dxa"/>
        </w:tblCellMar>
      </w:tblPr>
      <w:tblGrid>
        <w:gridCol w:w="5341"/>
        <w:gridCol w:w="8714"/>
      </w:tblGrid>
      <w:tr>
        <w:trPr>
          <w:cantSplit/>
          <w:tblHeader w:val="true"/>
        </w:trPr>
        <w:tc>
          <w:tcPr>
            <w:tcW w:type="dxa" w:w="5341"/>
            <w:vAlign w:val="center"/>
            <w:shd w:fill="222222"/>
          </w:tcPr>
          <w:p>
            <w:pPr>
              <w:keepNext/>
              <w:spacing w:after="0" w:before="0" w:line="264" w:lineRule="auto"/>
            </w:pPr>
            <w:r>
              <w:rPr>
                <w:rFonts w:ascii="Arial" w:hAnsi="Arial"/>
                <w:b/>
                <w:color w:val="FFFFFF"/>
                <w:sz w:val="20"/>
              </w:rPr>
              <w:t>Größe</w:t>
            </w:r>
          </w:p>
        </w:tc>
        <w:tc>
          <w:tcPr>
            <w:tcW w:type="dxa" w:w="8714"/>
            <w:vAlign w:val="center"/>
            <w:shd w:fill="222222"/>
          </w:tcPr>
          <w:p>
            <w:pPr>
              <w:keepNext/>
              <w:spacing w:after="0" w:before="0" w:line="264" w:lineRule="auto"/>
            </w:pPr>
            <w:r>
              <w:rPr>
                <w:rFonts w:ascii="Arial" w:hAnsi="Arial"/>
                <w:b/>
                <w:color w:val="FFFFFF"/>
                <w:sz w:val="20"/>
              </w:rPr>
              <w:t>Rechnung / Eintrag</w:t>
            </w:r>
          </w:p>
        </w:tc>
      </w:tr>
      <w:tr>
        <w:trPr>
          <w:cantSplit/>
        </w:trPr>
        <w:tc>
          <w:tcPr>
            <w:tcW w:type="dxa" w:w="5341"/>
            <w:vAlign w:val="center"/>
            <w:shd w:fill="FFFFFF"/>
          </w:tcPr>
          <w:p>
            <w:pPr>
              <w:spacing w:after="0" w:before="0" w:line="264" w:lineRule="auto"/>
            </w:pPr>
            <w:r>
              <w:rPr>
                <w:rFonts w:ascii="Arial" w:hAnsi="Arial"/>
                <w:color w:val="111111"/>
                <w:sz w:val="20"/>
              </w:rPr>
              <w:t>Bisherige jährliche Prozessstunden A</w:t>
            </w:r>
          </w:p>
        </w:tc>
        <w:tc>
          <w:tcPr>
            <w:tcW w:type="dxa" w:w="8714"/>
            <w:vAlign w:val="center"/>
            <w:shd w:fill="FFFFFF"/>
          </w:tcPr>
          <w:p>
            <w:pPr>
              <w:spacing w:after="0" w:before="0" w:line="264" w:lineRule="auto"/>
            </w:pPr>
            <w:r>
              <w:rPr>
                <w:rFonts w:ascii="Arial" w:hAnsi="Arial"/>
                <w:color w:val="111111"/>
                <w:sz w:val="20"/>
              </w:rPr>
              <w:t>[eintragen]</w:t>
            </w:r>
          </w:p>
        </w:tc>
      </w:tr>
      <w:tr>
        <w:trPr>
          <w:cantSplit/>
        </w:trPr>
        <w:tc>
          <w:tcPr>
            <w:tcW w:type="dxa" w:w="5341"/>
            <w:vAlign w:val="center"/>
            <w:shd w:fill="F4F5F5"/>
          </w:tcPr>
          <w:p>
            <w:pPr>
              <w:spacing w:after="0" w:before="0" w:line="264" w:lineRule="auto"/>
            </w:pPr>
            <w:r>
              <w:rPr>
                <w:rFonts w:ascii="Arial" w:hAnsi="Arial"/>
                <w:color w:val="111111"/>
                <w:sz w:val="20"/>
              </w:rPr>
              <w:t>Künftige jährliche Prozessstunden B</w:t>
            </w:r>
          </w:p>
        </w:tc>
        <w:tc>
          <w:tcPr>
            <w:tcW w:type="dxa" w:w="8714"/>
            <w:vAlign w:val="center"/>
            <w:shd w:fill="F4F5F5"/>
          </w:tcPr>
          <w:p>
            <w:pPr>
              <w:spacing w:after="0" w:before="0" w:line="264" w:lineRule="auto"/>
            </w:pPr>
            <w:r>
              <w:rPr>
                <w:rFonts w:ascii="Arial" w:hAnsi="Arial"/>
                <w:color w:val="111111"/>
                <w:sz w:val="20"/>
              </w:rPr>
              <w:t>[eintragen]</w:t>
            </w:r>
          </w:p>
        </w:tc>
      </w:tr>
      <w:tr>
        <w:trPr>
          <w:cantSplit/>
        </w:trPr>
        <w:tc>
          <w:tcPr>
            <w:tcW w:type="dxa" w:w="5341"/>
            <w:vAlign w:val="center"/>
            <w:shd w:fill="FFFFFF"/>
          </w:tcPr>
          <w:p>
            <w:pPr>
              <w:spacing w:after="0" w:before="0" w:line="264" w:lineRule="auto"/>
            </w:pPr>
            <w:r>
              <w:rPr>
                <w:rFonts w:ascii="Arial" w:hAnsi="Arial"/>
                <w:color w:val="111111"/>
                <w:sz w:val="20"/>
              </w:rPr>
              <w:t>Zusätzliche jährliche Pflege / Administration C</w:t>
            </w:r>
          </w:p>
        </w:tc>
        <w:tc>
          <w:tcPr>
            <w:tcW w:type="dxa" w:w="8714"/>
            <w:vAlign w:val="center"/>
            <w:shd w:fill="FFFFFF"/>
          </w:tcPr>
          <w:p>
            <w:pPr>
              <w:spacing w:after="0" w:before="0" w:line="264" w:lineRule="auto"/>
            </w:pPr>
            <w:r>
              <w:rPr>
                <w:rFonts w:ascii="Arial" w:hAnsi="Arial"/>
                <w:color w:val="111111"/>
                <w:sz w:val="20"/>
              </w:rPr>
              <w:t>[eintragen]</w:t>
            </w:r>
          </w:p>
        </w:tc>
      </w:tr>
      <w:tr>
        <w:trPr>
          <w:cantSplit/>
        </w:trPr>
        <w:tc>
          <w:tcPr>
            <w:tcW w:type="dxa" w:w="5341"/>
            <w:vAlign w:val="center"/>
            <w:shd w:fill="F4F5F5"/>
          </w:tcPr>
          <w:p>
            <w:pPr>
              <w:spacing w:after="0" w:before="0" w:line="264" w:lineRule="auto"/>
            </w:pPr>
            <w:r>
              <w:rPr>
                <w:rFonts w:ascii="Arial" w:hAnsi="Arial"/>
                <w:color w:val="111111"/>
                <w:sz w:val="20"/>
              </w:rPr>
              <w:t>Netto-Kapazitätsentlastung</w:t>
            </w:r>
          </w:p>
        </w:tc>
        <w:tc>
          <w:tcPr>
            <w:tcW w:type="dxa" w:w="8714"/>
            <w:vAlign w:val="center"/>
            <w:shd w:fill="F4F5F5"/>
          </w:tcPr>
          <w:p>
            <w:pPr>
              <w:spacing w:after="0" w:before="0" w:line="264" w:lineRule="auto"/>
            </w:pPr>
            <w:r>
              <w:rPr>
                <w:rFonts w:ascii="Arial" w:hAnsi="Arial"/>
                <w:color w:val="111111"/>
                <w:sz w:val="20"/>
              </w:rPr>
              <w:t>A − B − C</w:t>
            </w:r>
          </w:p>
        </w:tc>
      </w:tr>
      <w:tr>
        <w:trPr>
          <w:cantSplit/>
        </w:trPr>
        <w:tc>
          <w:tcPr>
            <w:tcW w:type="dxa" w:w="5341"/>
            <w:vAlign w:val="center"/>
            <w:shd w:fill="FFFFFF"/>
          </w:tcPr>
          <w:p>
            <w:pPr>
              <w:spacing w:after="0" w:before="0" w:line="264" w:lineRule="auto"/>
            </w:pPr>
            <w:r>
              <w:rPr>
                <w:rFonts w:ascii="Arial" w:hAnsi="Arial"/>
                <w:color w:val="111111"/>
                <w:sz w:val="20"/>
              </w:rPr>
              <w:t>Interner Stundensatz D</w:t>
            </w:r>
          </w:p>
        </w:tc>
        <w:tc>
          <w:tcPr>
            <w:tcW w:type="dxa" w:w="8714"/>
            <w:vAlign w:val="center"/>
            <w:shd w:fill="FFFFFF"/>
          </w:tcPr>
          <w:p>
            <w:pPr>
              <w:spacing w:after="0" w:before="0" w:line="264" w:lineRule="auto"/>
            </w:pPr>
            <w:r>
              <w:rPr>
                <w:rFonts w:ascii="Arial" w:hAnsi="Arial"/>
                <w:color w:val="111111"/>
                <w:sz w:val="20"/>
              </w:rPr>
              <w:t>[€ je Stunde und Grundlage]</w:t>
            </w:r>
          </w:p>
        </w:tc>
      </w:tr>
      <w:tr>
        <w:trPr>
          <w:cantSplit/>
        </w:trPr>
        <w:tc>
          <w:tcPr>
            <w:tcW w:type="dxa" w:w="5341"/>
            <w:vAlign w:val="center"/>
            <w:shd w:fill="F4F5F5"/>
          </w:tcPr>
          <w:p>
            <w:pPr>
              <w:spacing w:after="0" w:before="0" w:line="264" w:lineRule="auto"/>
            </w:pPr>
            <w:r>
              <w:rPr>
                <w:rFonts w:ascii="Arial" w:hAnsi="Arial"/>
                <w:color w:val="111111"/>
                <w:sz w:val="20"/>
              </w:rPr>
              <w:t>Kapazitätswert</w:t>
            </w:r>
          </w:p>
        </w:tc>
        <w:tc>
          <w:tcPr>
            <w:tcW w:type="dxa" w:w="8714"/>
            <w:vAlign w:val="center"/>
            <w:shd w:fill="F4F5F5"/>
          </w:tcPr>
          <w:p>
            <w:pPr>
              <w:spacing w:after="0" w:before="0" w:line="264" w:lineRule="auto"/>
            </w:pPr>
            <w:r>
              <w:rPr>
                <w:rFonts w:ascii="Arial" w:hAnsi="Arial"/>
                <w:color w:val="111111"/>
                <w:sz w:val="20"/>
              </w:rPr>
              <w:t>(A − B − C) × D</w:t>
            </w:r>
          </w:p>
        </w:tc>
      </w:tr>
      <w:tr>
        <w:trPr>
          <w:cantSplit/>
        </w:trPr>
        <w:tc>
          <w:tcPr>
            <w:tcW w:type="dxa" w:w="5341"/>
            <w:vAlign w:val="center"/>
            <w:shd w:fill="FFFFFF"/>
          </w:tcPr>
          <w:p>
            <w:pPr>
              <w:spacing w:after="0" w:before="0" w:line="264" w:lineRule="auto"/>
            </w:pPr>
            <w:r>
              <w:rPr>
                <w:rFonts w:ascii="Arial" w:hAnsi="Arial"/>
                <w:color w:val="111111"/>
                <w:sz w:val="20"/>
              </w:rPr>
              <w:t>Tatsächlich entfallende jährliche Ausgaben E</w:t>
            </w:r>
          </w:p>
        </w:tc>
        <w:tc>
          <w:tcPr>
            <w:tcW w:type="dxa" w:w="8714"/>
            <w:vAlign w:val="center"/>
            <w:shd w:fill="FFFFFF"/>
          </w:tcPr>
          <w:p>
            <w:pPr>
              <w:spacing w:after="0" w:before="0" w:line="264" w:lineRule="auto"/>
            </w:pPr>
            <w:r>
              <w:rPr>
                <w:rFonts w:ascii="Arial" w:hAnsi="Arial"/>
                <w:color w:val="111111"/>
                <w:sz w:val="20"/>
              </w:rPr>
              <w:t>[€ und konkreter Nachweis]</w:t>
            </w:r>
          </w:p>
        </w:tc>
      </w:tr>
      <w:tr>
        <w:trPr>
          <w:cantSplit/>
        </w:trPr>
        <w:tc>
          <w:tcPr>
            <w:tcW w:type="dxa" w:w="5341"/>
            <w:vAlign w:val="center"/>
            <w:shd w:fill="F4F5F5"/>
          </w:tcPr>
          <w:p>
            <w:pPr>
              <w:spacing w:after="0" w:before="0" w:line="264" w:lineRule="auto"/>
            </w:pPr>
            <w:r>
              <w:rPr>
                <w:rFonts w:ascii="Arial" w:hAnsi="Arial"/>
                <w:color w:val="111111"/>
                <w:sz w:val="20"/>
              </w:rPr>
              <w:t>Zusätzliche laufende jährliche Ausgaben F</w:t>
            </w:r>
          </w:p>
        </w:tc>
        <w:tc>
          <w:tcPr>
            <w:tcW w:type="dxa" w:w="8714"/>
            <w:vAlign w:val="center"/>
            <w:shd w:fill="F4F5F5"/>
          </w:tcPr>
          <w:p>
            <w:pPr>
              <w:spacing w:after="0" w:before="0" w:line="264" w:lineRule="auto"/>
            </w:pPr>
            <w:r>
              <w:rPr>
                <w:rFonts w:ascii="Arial" w:hAnsi="Arial"/>
                <w:color w:val="111111"/>
                <w:sz w:val="20"/>
              </w:rPr>
              <w:t>[€ aus Kostenübersicht]</w:t>
            </w:r>
          </w:p>
        </w:tc>
      </w:tr>
      <w:tr>
        <w:trPr>
          <w:cantSplit/>
        </w:trPr>
        <w:tc>
          <w:tcPr>
            <w:tcW w:type="dxa" w:w="5341"/>
            <w:vAlign w:val="center"/>
            <w:shd w:fill="FFFFFF"/>
          </w:tcPr>
          <w:p>
            <w:pPr>
              <w:spacing w:after="0" w:before="0" w:line="264" w:lineRule="auto"/>
            </w:pPr>
            <w:r>
              <w:rPr>
                <w:rFonts w:ascii="Arial" w:hAnsi="Arial"/>
                <w:color w:val="111111"/>
                <w:sz w:val="20"/>
              </w:rPr>
              <w:t>Jährlicher Netto-Zahlungseffekt</w:t>
            </w:r>
          </w:p>
        </w:tc>
        <w:tc>
          <w:tcPr>
            <w:tcW w:type="dxa" w:w="8714"/>
            <w:vAlign w:val="center"/>
            <w:shd w:fill="FFFFFF"/>
          </w:tcPr>
          <w:p>
            <w:pPr>
              <w:spacing w:after="0" w:before="0" w:line="264" w:lineRule="auto"/>
            </w:pPr>
            <w:r>
              <w:rPr>
                <w:rFonts w:ascii="Arial" w:hAnsi="Arial"/>
                <w:color w:val="111111"/>
                <w:sz w:val="20"/>
              </w:rPr>
              <w:t>E − F</w:t>
            </w:r>
          </w:p>
        </w:tc>
      </w:tr>
      <w:tr>
        <w:trPr>
          <w:cantSplit/>
        </w:trPr>
        <w:tc>
          <w:tcPr>
            <w:tcW w:type="dxa" w:w="5341"/>
            <w:vAlign w:val="center"/>
            <w:shd w:fill="F4F5F5"/>
          </w:tcPr>
          <w:p>
            <w:pPr>
              <w:spacing w:after="0" w:before="0" w:line="264" w:lineRule="auto"/>
            </w:pPr>
            <w:r>
              <w:rPr>
                <w:rFonts w:ascii="Arial" w:hAnsi="Arial"/>
                <w:color w:val="111111"/>
                <w:sz w:val="20"/>
              </w:rPr>
              <w:t>Einmalige Netto-Ausgaben I</w:t>
            </w:r>
          </w:p>
        </w:tc>
        <w:tc>
          <w:tcPr>
            <w:tcW w:type="dxa" w:w="8714"/>
            <w:vAlign w:val="center"/>
            <w:shd w:fill="F4F5F5"/>
          </w:tcPr>
          <w:p>
            <w:pPr>
              <w:spacing w:after="0" w:before="0" w:line="264" w:lineRule="auto"/>
            </w:pPr>
            <w:r>
              <w:rPr>
                <w:rFonts w:ascii="Arial" w:hAnsi="Arial"/>
                <w:color w:val="111111"/>
                <w:sz w:val="20"/>
              </w:rPr>
              <w:t>[€ aus Kostenübersicht; Zeitpunkt angeben]</w:t>
            </w:r>
          </w:p>
        </w:tc>
      </w:tr>
    </w:tbl>
    <w:p>
      <w:pPr>
        <w:spacing w:after="0"/>
      </w:pPr>
    </w:p>
    <w:p>
      <w:pPr>
        <w:ind w:right="1800"/>
      </w:pPr>
      <w:r>
        <w:rPr>
          <w:rFonts w:ascii="Arial" w:hAnsi="Arial"/>
        </w:rPr>
        <w:t>Der Kapazitätswert wird nicht zusätzlich zu denselben eingesparten Zahlungen als zweiter Geldnutzen gezählt. Eine positive Zeitentlastung kann bei weiterlaufenden Gehältern mit null Einsparung im Zahlungsbudget einhergehen.</w:t>
      </w:r>
    </w:p>
    <w:p>
      <w:pPr>
        <w:pStyle w:val="Heading1"/>
      </w:pPr>
      <w:r>
        <w:rPr>
          <w:rFonts w:ascii="Arial" w:hAnsi="Arial"/>
          <w:color w:val="000000"/>
        </w:rPr>
        <w:t>Szenarien und Entscheidung</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90" w:type="dxa"/>
          <w:right w:w="90" w:type="dxa"/>
        </w:tblCellMar>
      </w:tblPr>
      <w:tblGrid>
        <w:gridCol w:w="5622"/>
        <w:gridCol w:w="2811"/>
        <w:gridCol w:w="2811"/>
        <w:gridCol w:w="2811"/>
      </w:tblGrid>
      <w:tr>
        <w:trPr>
          <w:cantSplit/>
          <w:tblHeader w:val="true"/>
        </w:trPr>
        <w:tc>
          <w:tcPr>
            <w:tcW w:type="dxa" w:w="5622"/>
            <w:vAlign w:val="center"/>
            <w:shd w:fill="222222"/>
          </w:tcPr>
          <w:p>
            <w:pPr>
              <w:keepNext/>
              <w:spacing w:after="0" w:before="0" w:line="264" w:lineRule="auto"/>
            </w:pPr>
            <w:r>
              <w:rPr>
                <w:rFonts w:ascii="Arial" w:hAnsi="Arial"/>
                <w:b/>
                <w:color w:val="FFFFFF"/>
                <w:sz w:val="20"/>
              </w:rPr>
              <w:t>Annahme / Ergebnis</w:t>
            </w:r>
          </w:p>
        </w:tc>
        <w:tc>
          <w:tcPr>
            <w:tcW w:type="dxa" w:w="2811"/>
            <w:vAlign w:val="center"/>
            <w:shd w:fill="222222"/>
          </w:tcPr>
          <w:p>
            <w:pPr>
              <w:keepNext/>
              <w:spacing w:after="0" w:before="0" w:line="264" w:lineRule="auto"/>
            </w:pPr>
            <w:r>
              <w:rPr>
                <w:rFonts w:ascii="Arial" w:hAnsi="Arial"/>
                <w:b/>
                <w:color w:val="FFFFFF"/>
                <w:sz w:val="20"/>
              </w:rPr>
              <w:t>Vorsichtig</w:t>
            </w:r>
          </w:p>
        </w:tc>
        <w:tc>
          <w:tcPr>
            <w:tcW w:type="dxa" w:w="2811"/>
            <w:vAlign w:val="center"/>
            <w:shd w:fill="222222"/>
          </w:tcPr>
          <w:p>
            <w:pPr>
              <w:keepNext/>
              <w:spacing w:after="0" w:before="0" w:line="264" w:lineRule="auto"/>
            </w:pPr>
            <w:r>
              <w:rPr>
                <w:rFonts w:ascii="Arial" w:hAnsi="Arial"/>
                <w:b/>
                <w:color w:val="FFFFFF"/>
                <w:sz w:val="20"/>
              </w:rPr>
              <w:t>Erwartet</w:t>
            </w:r>
          </w:p>
        </w:tc>
        <w:tc>
          <w:tcPr>
            <w:tcW w:type="dxa" w:w="2811"/>
            <w:vAlign w:val="center"/>
            <w:shd w:fill="222222"/>
          </w:tcPr>
          <w:p>
            <w:pPr>
              <w:keepNext/>
              <w:spacing w:after="0" w:before="0" w:line="264" w:lineRule="auto"/>
            </w:pPr>
            <w:r>
              <w:rPr>
                <w:rFonts w:ascii="Arial" w:hAnsi="Arial"/>
                <w:b/>
                <w:color w:val="FFFFFF"/>
                <w:sz w:val="20"/>
              </w:rPr>
              <w:t>Günstig</w:t>
            </w:r>
          </w:p>
        </w:tc>
      </w:tr>
      <w:tr>
        <w:trPr>
          <w:cantSplit/>
        </w:trPr>
        <w:tc>
          <w:tcPr>
            <w:tcW w:type="dxa" w:w="5622"/>
            <w:vAlign w:val="center"/>
            <w:shd w:fill="FFFFFF"/>
          </w:tcPr>
          <w:p>
            <w:pPr>
              <w:spacing w:after="0" w:before="0" w:line="264" w:lineRule="auto"/>
            </w:pPr>
            <w:r>
              <w:rPr>
                <w:rFonts w:ascii="Arial" w:hAnsi="Arial"/>
                <w:color w:val="111111"/>
                <w:sz w:val="20"/>
              </w:rPr>
              <w:t>Einführung bis produktive Nutzung</w:t>
            </w:r>
          </w:p>
        </w:tc>
        <w:tc>
          <w:tcPr>
            <w:tcW w:type="dxa" w:w="2811"/>
            <w:vAlign w:val="center"/>
            <w:shd w:fill="FFFFFF"/>
          </w:tcPr>
          <w:p>
            <w:pPr>
              <w:spacing w:after="0" w:before="0" w:line="264" w:lineRule="auto"/>
              <w:jc w:val="center"/>
            </w:pPr>
            <w:r>
              <w:rPr>
                <w:rFonts w:ascii="Arial" w:hAnsi="Arial"/>
                <w:color w:val="111111"/>
                <w:sz w:val="20"/>
              </w:rPr>
              <w:t>[Monate]</w:t>
            </w:r>
          </w:p>
        </w:tc>
        <w:tc>
          <w:tcPr>
            <w:tcW w:type="dxa" w:w="2811"/>
            <w:vAlign w:val="center"/>
            <w:shd w:fill="FFFFFF"/>
          </w:tcPr>
          <w:p>
            <w:pPr>
              <w:spacing w:after="0" w:before="0" w:line="264" w:lineRule="auto"/>
              <w:jc w:val="center"/>
            </w:pPr>
            <w:r>
              <w:rPr>
                <w:rFonts w:ascii="Arial" w:hAnsi="Arial"/>
                <w:color w:val="111111"/>
                <w:sz w:val="20"/>
              </w:rPr>
              <w:t>[Monate]</w:t>
            </w:r>
          </w:p>
        </w:tc>
        <w:tc>
          <w:tcPr>
            <w:tcW w:type="dxa" w:w="2811"/>
            <w:vAlign w:val="center"/>
            <w:shd w:fill="FFFFFF"/>
          </w:tcPr>
          <w:p>
            <w:pPr>
              <w:spacing w:after="0" w:before="0" w:line="264" w:lineRule="auto"/>
              <w:jc w:val="center"/>
            </w:pPr>
            <w:r>
              <w:rPr>
                <w:rFonts w:ascii="Arial" w:hAnsi="Arial"/>
                <w:color w:val="111111"/>
                <w:sz w:val="20"/>
              </w:rPr>
              <w:t>[Monate]</w:t>
            </w:r>
          </w:p>
        </w:tc>
      </w:tr>
      <w:tr>
        <w:trPr>
          <w:cantSplit/>
        </w:trPr>
        <w:tc>
          <w:tcPr>
            <w:tcW w:type="dxa" w:w="5622"/>
            <w:vAlign w:val="center"/>
            <w:shd w:fill="F4F5F5"/>
          </w:tcPr>
          <w:p>
            <w:pPr>
              <w:spacing w:after="0" w:before="0" w:line="264" w:lineRule="auto"/>
            </w:pPr>
            <w:r>
              <w:rPr>
                <w:rFonts w:ascii="Arial" w:hAnsi="Arial"/>
                <w:color w:val="111111"/>
                <w:sz w:val="20"/>
              </w:rPr>
              <w:t>Tatsächliche Nutzung</w:t>
            </w:r>
          </w:p>
        </w:tc>
        <w:tc>
          <w:tcPr>
            <w:tcW w:type="dxa" w:w="2811"/>
            <w:vAlign w:val="center"/>
            <w:shd w:fill="F4F5F5"/>
          </w:tcPr>
          <w:p>
            <w:pPr>
              <w:spacing w:after="0" w:before="0" w:line="264" w:lineRule="auto"/>
            </w:pPr>
            <w:r>
              <w:rPr>
                <w:rFonts w:ascii="Arial" w:hAnsi="Arial"/>
                <w:color w:val="111111"/>
                <w:sz w:val="20"/>
              </w:rPr>
              <w:t>[% des geplanten Umfangs]</w:t>
            </w:r>
          </w:p>
        </w:tc>
        <w:tc>
          <w:tcPr>
            <w:tcW w:type="dxa" w:w="2811"/>
            <w:vAlign w:val="center"/>
            <w:shd w:fill="F4F5F5"/>
          </w:tcPr>
          <w:p>
            <w:pPr>
              <w:spacing w:after="0" w:before="0" w:line="264" w:lineRule="auto"/>
              <w:jc w:val="center"/>
            </w:pPr>
            <w:r>
              <w:rPr>
                <w:rFonts w:ascii="Arial" w:hAnsi="Arial"/>
                <w:color w:val="111111"/>
                <w:sz w:val="20"/>
              </w:rPr>
              <w:t>[%]</w:t>
            </w:r>
          </w:p>
        </w:tc>
        <w:tc>
          <w:tcPr>
            <w:tcW w:type="dxa" w:w="2811"/>
            <w:vAlign w:val="center"/>
            <w:shd w:fill="F4F5F5"/>
          </w:tcPr>
          <w:p>
            <w:pPr>
              <w:spacing w:after="0" w:before="0" w:line="264" w:lineRule="auto"/>
              <w:jc w:val="center"/>
            </w:pPr>
            <w:r>
              <w:rPr>
                <w:rFonts w:ascii="Arial" w:hAnsi="Arial"/>
                <w:color w:val="111111"/>
                <w:sz w:val="20"/>
              </w:rPr>
              <w:t>[%]</w:t>
            </w:r>
          </w:p>
        </w:tc>
      </w:tr>
      <w:tr>
        <w:trPr>
          <w:cantSplit/>
        </w:trPr>
        <w:tc>
          <w:tcPr>
            <w:tcW w:type="dxa" w:w="5622"/>
            <w:vAlign w:val="center"/>
            <w:shd w:fill="FFFFFF"/>
          </w:tcPr>
          <w:p>
            <w:pPr>
              <w:spacing w:after="0" w:before="0" w:line="264" w:lineRule="auto"/>
            </w:pPr>
            <w:r>
              <w:rPr>
                <w:rFonts w:ascii="Arial" w:hAnsi="Arial"/>
                <w:color w:val="111111"/>
                <w:sz w:val="20"/>
              </w:rPr>
              <w:t>Verbleibender Prozess- und Pflegeaufwand</w:t>
            </w:r>
          </w:p>
        </w:tc>
        <w:tc>
          <w:tcPr>
            <w:tcW w:type="dxa" w:w="2811"/>
            <w:vAlign w:val="center"/>
            <w:shd w:fill="FFFFFF"/>
          </w:tcPr>
          <w:p>
            <w:pPr>
              <w:spacing w:after="0" w:before="0" w:line="264" w:lineRule="auto"/>
              <w:jc w:val="center"/>
            </w:pPr>
            <w:r>
              <w:rPr>
                <w:rFonts w:ascii="Arial" w:hAnsi="Arial"/>
                <w:color w:val="111111"/>
                <w:sz w:val="20"/>
              </w:rPr>
              <w:t>[Stunden]</w:t>
            </w:r>
          </w:p>
        </w:tc>
        <w:tc>
          <w:tcPr>
            <w:tcW w:type="dxa" w:w="2811"/>
            <w:vAlign w:val="center"/>
            <w:shd w:fill="FFFFFF"/>
          </w:tcPr>
          <w:p>
            <w:pPr>
              <w:spacing w:after="0" w:before="0" w:line="264" w:lineRule="auto"/>
              <w:jc w:val="center"/>
            </w:pPr>
            <w:r>
              <w:rPr>
                <w:rFonts w:ascii="Arial" w:hAnsi="Arial"/>
                <w:color w:val="111111"/>
                <w:sz w:val="20"/>
              </w:rPr>
              <w:t>[Stunden]</w:t>
            </w:r>
          </w:p>
        </w:tc>
        <w:tc>
          <w:tcPr>
            <w:tcW w:type="dxa" w:w="2811"/>
            <w:vAlign w:val="center"/>
            <w:shd w:fill="FFFFFF"/>
          </w:tcPr>
          <w:p>
            <w:pPr>
              <w:spacing w:after="0" w:before="0" w:line="264" w:lineRule="auto"/>
              <w:jc w:val="center"/>
            </w:pPr>
            <w:r>
              <w:rPr>
                <w:rFonts w:ascii="Arial" w:hAnsi="Arial"/>
                <w:color w:val="111111"/>
                <w:sz w:val="20"/>
              </w:rPr>
              <w:t>[Stunden]</w:t>
            </w:r>
          </w:p>
        </w:tc>
      </w:tr>
      <w:tr>
        <w:trPr>
          <w:cantSplit/>
        </w:trPr>
        <w:tc>
          <w:tcPr>
            <w:tcW w:type="dxa" w:w="5622"/>
            <w:vAlign w:val="center"/>
            <w:shd w:fill="F4F5F5"/>
          </w:tcPr>
          <w:p>
            <w:pPr>
              <w:spacing w:after="0" w:before="0" w:line="264" w:lineRule="auto"/>
            </w:pPr>
            <w:r>
              <w:rPr>
                <w:rFonts w:ascii="Arial" w:hAnsi="Arial"/>
                <w:color w:val="111111"/>
                <w:sz w:val="20"/>
              </w:rPr>
              <w:t>Laufende Ausgaben</w:t>
            </w:r>
          </w:p>
        </w:tc>
        <w:tc>
          <w:tcPr>
            <w:tcW w:type="dxa" w:w="2811"/>
            <w:vAlign w:val="center"/>
            <w:shd w:fill="F4F5F5"/>
          </w:tcPr>
          <w:p>
            <w:pPr>
              <w:spacing w:after="0" w:before="0" w:line="264" w:lineRule="auto"/>
              <w:jc w:val="center"/>
            </w:pPr>
            <w:r>
              <w:rPr>
                <w:rFonts w:ascii="Arial" w:hAnsi="Arial"/>
                <w:color w:val="111111"/>
                <w:sz w:val="20"/>
              </w:rPr>
              <w:t>[€]</w:t>
            </w:r>
          </w:p>
        </w:tc>
        <w:tc>
          <w:tcPr>
            <w:tcW w:type="dxa" w:w="2811"/>
            <w:vAlign w:val="center"/>
            <w:shd w:fill="F4F5F5"/>
          </w:tcPr>
          <w:p>
            <w:pPr>
              <w:spacing w:after="0" w:before="0" w:line="264" w:lineRule="auto"/>
              <w:jc w:val="center"/>
            </w:pPr>
            <w:r>
              <w:rPr>
                <w:rFonts w:ascii="Arial" w:hAnsi="Arial"/>
                <w:color w:val="111111"/>
                <w:sz w:val="20"/>
              </w:rPr>
              <w:t>[€]</w:t>
            </w:r>
          </w:p>
        </w:tc>
        <w:tc>
          <w:tcPr>
            <w:tcW w:type="dxa" w:w="2811"/>
            <w:vAlign w:val="center"/>
            <w:shd w:fill="F4F5F5"/>
          </w:tcPr>
          <w:p>
            <w:pPr>
              <w:spacing w:after="0" w:before="0" w:line="264" w:lineRule="auto"/>
              <w:jc w:val="center"/>
            </w:pPr>
            <w:r>
              <w:rPr>
                <w:rFonts w:ascii="Arial" w:hAnsi="Arial"/>
                <w:color w:val="111111"/>
                <w:sz w:val="20"/>
              </w:rPr>
              <w:t>[€]</w:t>
            </w:r>
          </w:p>
        </w:tc>
      </w:tr>
      <w:tr>
        <w:trPr>
          <w:cantSplit/>
        </w:trPr>
        <w:tc>
          <w:tcPr>
            <w:tcW w:type="dxa" w:w="5622"/>
            <w:vAlign w:val="center"/>
            <w:shd w:fill="FFFFFF"/>
          </w:tcPr>
          <w:p>
            <w:pPr>
              <w:spacing w:after="0" w:before="0" w:line="264" w:lineRule="auto"/>
            </w:pPr>
            <w:r>
              <w:rPr>
                <w:rFonts w:ascii="Arial" w:hAnsi="Arial"/>
                <w:color w:val="111111"/>
                <w:sz w:val="20"/>
              </w:rPr>
              <w:t>Kumulierter Netto-Zahlungseffekt</w:t>
            </w:r>
          </w:p>
        </w:tc>
        <w:tc>
          <w:tcPr>
            <w:tcW w:type="dxa" w:w="2811"/>
            <w:vAlign w:val="center"/>
            <w:shd w:fill="FFFFFF"/>
          </w:tcPr>
          <w:p>
            <w:pPr>
              <w:spacing w:after="0" w:before="0" w:line="264" w:lineRule="auto"/>
              <w:jc w:val="center"/>
            </w:pPr>
            <w:r>
              <w:rPr>
                <w:rFonts w:ascii="Arial" w:hAnsi="Arial"/>
                <w:color w:val="111111"/>
                <w:sz w:val="20"/>
              </w:rPr>
              <w:t>[€ je Jahr]</w:t>
            </w:r>
          </w:p>
        </w:tc>
        <w:tc>
          <w:tcPr>
            <w:tcW w:type="dxa" w:w="2811"/>
            <w:vAlign w:val="center"/>
            <w:shd w:fill="FFFFFF"/>
          </w:tcPr>
          <w:p>
            <w:pPr>
              <w:spacing w:after="0" w:before="0" w:line="264" w:lineRule="auto"/>
              <w:jc w:val="center"/>
            </w:pPr>
            <w:r>
              <w:rPr>
                <w:rFonts w:ascii="Arial" w:hAnsi="Arial"/>
                <w:color w:val="111111"/>
                <w:sz w:val="20"/>
              </w:rPr>
              <w:t>[€ je Jahr]</w:t>
            </w:r>
          </w:p>
        </w:tc>
        <w:tc>
          <w:tcPr>
            <w:tcW w:type="dxa" w:w="2811"/>
            <w:vAlign w:val="center"/>
            <w:shd w:fill="FFFFFF"/>
          </w:tcPr>
          <w:p>
            <w:pPr>
              <w:spacing w:after="0" w:before="0" w:line="264" w:lineRule="auto"/>
              <w:jc w:val="center"/>
            </w:pPr>
            <w:r>
              <w:rPr>
                <w:rFonts w:ascii="Arial" w:hAnsi="Arial"/>
                <w:color w:val="111111"/>
                <w:sz w:val="20"/>
              </w:rPr>
              <w:t>[€ je Jahr]</w:t>
            </w:r>
          </w:p>
        </w:tc>
      </w:tr>
    </w:tbl>
    <w:p>
      <w:pPr>
        <w:spacing w:after="0"/>
      </w:pPr>
    </w:p>
    <w:p>
      <w:pPr>
        <w:ind w:right="1800"/>
      </w:pPr>
      <w:r>
        <w:rPr>
          <w:rFonts w:ascii="Arial" w:hAnsi="Arial"/>
        </w:rPr>
        <w:t>Bei gleichbleibendem positivem jährlichem Netto-Zahlungseffekt kann die einfache Amortisationsdauer als I ÷ (E − F) gerechnet werden. Bei null oder negativem Effekt gibt es auf dieser Basis keine positive Amortisation. Bei schwankenden Werten den Zeitpunkt ermitteln, an dem der kumulierte Zahlungsstrom erstmals nicht negativ wird. Falls Abzinsung verwendet wird, Satz und Zeitpunkte für alle Optionen gleich festlegen.</w:t>
      </w:r>
    </w:p>
    <w:p>
      <w:pPr>
        <w:ind w:right="1800"/>
      </w:pPr>
      <w:r>
        <w:rPr>
          <w:rFonts w:ascii="Arial" w:hAnsi="Arial"/>
        </w:rPr>
        <w:t>Nicht monetäre Erfolgskriterien: [Datenqualität / Nachweisabruf / Abschluss überfälliger Maßnahmen]</w:t>
        <w:br/>
        <w:t>Messgröße, Ausgangswert und Ziel je Kriterium: [eintragen]</w:t>
        <w:br/>
        <w:t>Verantwortliche und Messdatum: [eintragen]</w:t>
        <w:br/>
        <w:t>Entscheidung mit Budget, Umfang und Abbruchkriterien: [eintragen]</w:t>
      </w:r>
    </w:p>
    <w:p>
      <w:pPr>
        <w:pStyle w:val="Heading1"/>
      </w:pPr>
      <w:r>
        <w:rPr>
          <w:rFonts w:ascii="Arial" w:hAnsi="Arial"/>
          <w:color w:val="000000"/>
        </w:rPr>
        <w:t>Regulatorischer Kontext</w:t>
      </w:r>
    </w:p>
    <w:p>
      <w:pPr>
        <w:ind w:right="1800"/>
      </w:pPr>
      <w:hyperlink r:id="rId11">
        <w:r>
          <w:rPr>
            <w:rFonts w:ascii="Arial" w:hAnsi="Arial"/>
            <w:color w:val="047857"/>
            <w:u w:val="single"/>
          </w:rPr>
          <w:t xml:space="preserve">MaRisk</w:t>
        </w:r>
      </w:hyperlink>
      <w:r>
        <w:rPr>
          <w:rFonts w:ascii="Arial" w:hAnsi="Arial"/>
        </w:rPr>
        <w:t xml:space="preserve"> und </w:t>
      </w:r>
      <w:hyperlink r:id="rId12">
        <w:r>
          <w:rPr>
            <w:rFonts w:ascii="Arial" w:hAnsi="Arial"/>
            <w:color w:val="047857"/>
            <w:u w:val="single"/>
          </w:rPr>
          <w:t xml:space="preserve">DORA</w:t>
        </w:r>
      </w:hyperlink>
      <w:r>
        <w:rPr>
          <w:rFonts w:ascii="Arial" w:hAnsi="Arial"/>
        </w:rPr>
        <w:t xml:space="preserve"> verlangen geeignete Prozesse und Verantwortlichkeiten. Das Arbeitsblatt bewertet deren Umsetzung wirtschaftlich; es setzt keinen gesetzlich vorgeschriebenen Softwarekauf voraus.</w:t>
      </w:r>
    </w:p>
    <w:sectPr w:rsidR="00FC693F" w:rsidRPr="0006063C" w:rsidSect="00034616">
      <w:headerReference w:type="default" r:id="rId9"/>
      <w:footerReference w:type="default" r:id="rId10"/>
      <w:pgSz w:w="15840" w:h="12240" w:orient="landscape"/>
      <w:pgMar w:top="965" w:right="893" w:bottom="893" w:left="893" w:header="346"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right"/>
    </w:pPr>
    <w:r>
      <w:rPr>
        <w:rFonts w:ascii="Arial" w:hAnsi="Arial"/>
        <w:color w:val="666666"/>
        <w:sz w:val="17"/>
      </w:rPr>
      <w:t xml:space="preserve">T-NEX  ·  </w:t>
    </w: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inline xmlns:a="http://schemas.openxmlformats.org/drawingml/2006/main" xmlns:pic="http://schemas.openxmlformats.org/drawingml/2006/picture">
          <wp:extent cx="155448" cy="138793"/>
          <wp:docPr id="1" name="Picture 1"/>
          <wp:cNvGraphicFramePr>
            <a:graphicFrameLocks noChangeAspect="1"/>
          </wp:cNvGraphicFramePr>
          <a:graphic>
            <a:graphicData uri="http://schemas.openxmlformats.org/drawingml/2006/picture">
              <pic:pic>
                <pic:nvPicPr>
                  <pic:cNvPr id="0" name="tnex-chevron.png"/>
                  <pic:cNvPicPr/>
                </pic:nvPicPr>
                <pic:blipFill>
                  <a:blip r:embed="rId1"/>
                  <a:stretch>
                    <a:fillRect/>
                  </a:stretch>
                </pic:blipFill>
                <pic:spPr>
                  <a:xfrm>
                    <a:off x="0" y="0"/>
                    <a:ext cx="155448" cy="138793"/>
                  </a:xfrm>
                  <a:prstGeom prst="rect"/>
                </pic:spPr>
              </pic:pic>
            </a:graphicData>
          </a:graphic>
        </wp:inline>
      </w:drawing>
    </w:r>
    <w:r>
      <w:rPr>
        <w:rFonts w:ascii="Arial" w:hAnsi="Arial"/>
        <w:b/>
        <w:color w:val="000000"/>
        <w:sz w:val="21"/>
      </w:rPr>
      <w:t xml:space="preserve"> T-NEX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4"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140" w:line="264" w:lineRule="auto"/>
    </w:pPr>
    <w:rPr>
      <w:rFonts w:ascii="Arial" w:hAnsi="Arial"/>
      <w:color w:val="000000"/>
      <w:sz w:val="21"/>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140" w:line="264" w:lineRule="auto"/>
    </w:pPr>
    <w:rPr>
      <w:rFonts w:ascii="Arial" w:hAnsi="Arial"/>
      <w:color w:val="000000"/>
      <w:sz w:val="21"/>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40" w:line="264" w:lineRule="auto"/>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40" w:line="264"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60" w:after="140" w:line="264" w:lineRule="auto"/>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60" w:line="264" w:lineRule="auto"/>
      <w:contextualSpacing/>
    </w:pPr>
    <w:rPr>
      <w:rFonts w:asciiTheme="majorHAnsi" w:eastAsiaTheme="majorEastAsia" w:hAnsiTheme="majorHAnsi" w:cstheme="majorBidi" w:ascii="Arial" w:hAnsi="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64" w:lineRule="auto"/>
    </w:pPr>
    <w:rPr>
      <w:rFonts w:asciiTheme="majorHAnsi" w:eastAsiaTheme="majorEastAsia" w:hAnsiTheme="majorHAnsi" w:cstheme="majorBidi" w:ascii="Arial" w:hAnsi="Arial"/>
      <w:i/>
      <w:iCs/>
      <w:color w:val="000000"/>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bundesbank.de/resource/blob/825336/866a68577eb35afee82fbe60c39a4f87/472B63F073F071307366337C94F8C870/2026-06-30-rundschreiben-data.pdf" TargetMode="External"/><Relationship Id="rId12" Type="http://schemas.openxmlformats.org/officeDocument/2006/relationships/hyperlink" Target="https://eur-lex.europa.eu/eli/reg/2022/2554/oj"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GRC-Software: Business-Case-Arbeitsblatt</dc:title>
  <dc:subject>T-NEX working material</dc:subject>
  <dc:creator>T-NEX GmbH</dc:creator>
  <cp:keywords/>
  <dc:description>generated by python-docx</dc:description>
  <cp:lastModifiedBy/>
  <cp:revision>1</cp:revision>
  <dcterms:created xsi:type="dcterms:W3CDTF">2013-12-23T23:15:00Z</dcterms:created>
  <dcterms:modified xsi:type="dcterms:W3CDTF">2013-12-23T23:15:00Z</dcterms:modified>
  <cp:category/>
  <dc:language>de-DE</dc:language>
</cp:coreProperties>
</file>