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EBA guideline map: maintenance and change worksheet</w:t>
      </w:r>
    </w:p>
    <w:p>
      <w:pPr>
        <w:ind w:right="1800"/>
      </w:pPr>
      <w:r>
        <w:rPr>
          <w:rFonts w:ascii="Arial" w:hAnsi="Arial"/>
        </w:rPr>
        <w:t>Template version: 11 September 2026</w:t>
      </w:r>
    </w:p>
    <w:p>
      <w:pPr>
        <w:pStyle w:val="Heading1"/>
      </w:pPr>
      <w:r>
        <w:rPr>
          <w:rFonts w:ascii="Arial" w:hAnsi="Arial"/>
          <w:color w:val="000000"/>
        </w:rPr>
        <w:t>1. Assessment scope</w:t>
      </w:r>
    </w:p>
    <w:p>
      <w:pPr>
        <w:ind w:right="1800"/>
      </w:pPr>
      <w:r>
        <w:rPr>
          <w:rFonts w:ascii="Arial" w:hAnsi="Arial"/>
        </w:rPr>
        <w:t>Legal entity: [enter]</w:t>
        <w:br/>
        <w:t>Authorisation / supervisor: [enter]</w:t>
        <w:br/>
        <w:t>Individual or consolidated level: [enter]</w:t>
        <w:br/>
        <w:t>Accountable function: [enter]</w:t>
        <w:br/>
        <w:t>Assessment date: [enter]</w:t>
        <w:br/>
        <w:t>Next scheduled review: [enter]</w:t>
      </w:r>
    </w:p>
    <w:p>
      <w:pPr>
        <w:ind w:right="1800"/>
      </w:pPr>
      <w:r>
        <w:rPr>
          <w:rFonts w:ascii="Arial" w:hAnsi="Arial"/>
        </w:rPr>
        <w:t>The starting list contains the eight guidelines expressly identified in MaRisk AT 1 paragraph 2. Their shared German implementation reference is Circular 06/2026 of 30 June 2026. This is not a complete legal inventory. Record additional EBA application dates and transitions for each document from its official publication.</w:t>
      </w:r>
    </w:p>
    <w:p>
      <w:pPr>
        <w:pStyle w:val="Heading1"/>
      </w:pPr>
      <w:r>
        <w:rPr>
          <w:rFonts w:ascii="Arial" w:hAnsi="Arial"/>
          <w:color w:val="000000"/>
        </w:rPr>
        <w:t>2. Starting inventory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Guideline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Topic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German implementation reference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Next review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EBA/GL/2018/04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Stress testing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EBA/GL/2018/06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Non-performing and forborne exposures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EBA/GL/2019/02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Outsourcing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EBA/GL/2020/06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Loan origination and monitoring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EBA/GL/2021/05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Internal governance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EBA/GL/2022/14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Interest rate and credit spread risk in the banking book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EBA/GL/2025/01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ESG risk management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EBA/GL/2025/04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Environmental scenario analysis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p>
      <w:pPr>
        <w:pStyle w:val="Heading1"/>
      </w:pPr>
      <w:r>
        <w:rPr>
          <w:rFonts w:ascii="Arial" w:hAnsi="Arial"/>
          <w:color w:val="000000"/>
        </w:rPr>
        <w:t>3. Assess a change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5341"/>
        <w:gridCol w:w="8714"/>
      </w:tblGrid>
      <w:tr>
        <w:trPr>
          <w:cantSplit/>
          <w:tblHeader w:val="true"/>
        </w:trPr>
        <w:tc>
          <w:tcPr>
            <w:tcW w:type="dxa" w:w="534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8714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Entry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Document identifier and precise provision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Previous version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New version / amending document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Official URL and access date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Publication date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Application / transition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[date and reference, separately from publication]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Affected entity / process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Applicability decision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[applies / partly / does not apply; explain]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German implementation route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[MaRisk provision or another specific reference]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Affected policies, controls and evidence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[IDs / references]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Required action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Owner and deadline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Decision / approval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[person, date and reason]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Effectiveness check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[criterion, outcome and evidence]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p>
      <w:pPr>
        <w:pStyle w:val="Heading1"/>
      </w:pPr>
      <w:r>
        <w:rPr>
          <w:rFonts w:ascii="Arial" w:hAnsi="Arial"/>
          <w:color w:val="000000"/>
        </w:rPr>
        <w:t>4. Version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Change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Decision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Evidence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p>
      <w:pPr>
        <w:pStyle w:val="Heading1"/>
      </w:pPr>
      <w:r>
        <w:rPr>
          <w:rFonts w:ascii="Arial" w:hAnsi="Arial"/>
          <w:color w:val="000000"/>
        </w:rPr>
        <w:t>Sources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1">
        <w:r>
          <w:rPr>
            <w:rFonts w:ascii="Arial" w:hAnsi="Arial"/>
            <w:color w:val="047857"/>
            <w:u w:val="single"/>
          </w:rPr>
          <w:t xml:space="preserve">BaFin: MaRisk 06/2026, AT 1 paragraph 2</w:t>
        </w:r>
      </w:hyperlink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2">
        <w:r>
          <w:rPr>
            <w:rFonts w:ascii="Arial" w:hAnsi="Arial"/>
            <w:color w:val="047857"/>
            <w:u w:val="single"/>
          </w:rPr>
          <w:t xml:space="preserve">EBA Regulation, Article 16</w:t>
        </w:r>
      </w:hyperlink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65" w:right="893" w:bottom="893" w:left="893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666666"/>
        <w:sz w:val="17"/>
      </w:rPr>
      <w:t xml:space="preserve">T-NEX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5448" cy="1387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nex-chev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" cy="13879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00000"/>
        <w:sz w:val="21"/>
      </w:rPr>
      <w:t xml:space="preserve"> T-NEX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undesbank.de/resource/blob/825336/866a68577eb35afee82fbe60c39a4f87/472B63F073F071307366337C94F8C870/2026-06-30-rundschreiben-data.pdf" TargetMode="External"/><Relationship Id="rId12" Type="http://schemas.openxmlformats.org/officeDocument/2006/relationships/hyperlink" Target="https://eur-lex.europa.eu/eli/reg/2010/1093/oj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EBA guideline map: maintenance and change worksheet</dc:title>
  <dc:subject>T-NEX working material</dc:subject>
  <dc:creator>T-NEX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