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T-NEX: procurement overview and product assessment worksheet</w:t>
      </w:r>
    </w:p>
    <w:p>
      <w:pPr>
        <w:ind w:right="1800"/>
      </w:pPr>
      <w:r>
        <w:rPr>
          <w:rFonts w:ascii="Arial" w:hAnsi="Arial"/>
        </w:rPr>
        <w:t>Version 1.0 · 11 September 2026 · Publisher: T-NEX GmbH</w:t>
      </w:r>
    </w:p>
    <w:p>
      <w:pPr>
        <w:ind w:right="1800"/>
      </w:pPr>
      <w:r>
        <w:rPr>
          <w:rFonts w:ascii="Arial" w:hAnsi="Arial"/>
        </w:rPr>
        <w:t>This worksheet summarises publicly described functions and their documentation basis. Use the editable fields to prepare a product demonstration, technical assessment or proposal. The product pages provide further detail; your project establishes the scope of the actual installation and its operation.</w:t>
      </w:r>
    </w:p>
    <w:p>
      <w:pPr>
        <w:pStyle w:val="Heading1"/>
      </w:pPr>
      <w:r>
        <w:rPr>
          <w:rFonts w:ascii="Arial" w:hAnsi="Arial"/>
          <w:color w:val="000000"/>
        </w:rPr>
        <w:t>1. Your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341"/>
        <w:gridCol w:w="8714"/>
      </w:tblGrid>
      <w:tr>
        <w:trPr>
          <w:cantSplit/>
          <w:tblHeader w:val="true"/>
        </w:trPr>
        <w:tc>
          <w:tcPr>
            <w:tcW w:type="dxa" w:w="534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87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Your team’s entry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Institution and department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Contact and role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Workflow to support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Expected result for users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Existing systems and authoritative data sources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User groups and required permissions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Important dates and business dependencies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Assessment reference and date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Describe the goal as a testable workflow: “A project manager requests capacity for a work package. The line manager checks available capacity and decides. The project plan shows the committed resource.” This gives the demonstration a shared basis for assessment.</w:t>
      </w:r>
    </w:p>
    <w:p>
      <w:pPr>
        <w:pStyle w:val="Heading1"/>
      </w:pPr>
      <w:r>
        <w:rPr>
          <w:rFonts w:ascii="Arial" w:hAnsi="Arial"/>
          <w:color w:val="000000"/>
        </w:rPr>
        <w:t>2. Documented offerings and suitable assessment cases</w:t>
      </w:r>
    </w:p>
    <w:p>
      <w:pPr>
        <w:pStyle w:val="Heading2"/>
      </w:pPr>
      <w:r>
        <w:rPr>
          <w:rFonts w:ascii="Arial" w:hAnsi="Arial"/>
          <w:color w:val="000000"/>
        </w:rPr>
        <w:t>T-NEX Controlling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IT cost planning, analysis and internal cost allocation.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Accounting data, provider invoices, cost objects, contract values, quantities and planned values.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Allocated cost records, planning views, planning previews and traceable reports. Actuals, open commitments, budgets, operational IT planning and the multi-year financial plan remain distinguishable.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Roles in the assessment:</w:t>
      </w:r>
      <w:r>
        <w:rPr>
          <w:rFonts w:ascii="Arial" w:hAnsi="Arial"/>
        </w:rPr>
        <w:t xml:space="preserve"> IT controlling, planning owners and administration; permissions are defined for the installation.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Import a known invoice, identify missing allocations, trace an amount to its source and inspect a planning run before execution.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Controlling manual, 25 August 2026, edition 3, 286 pages. It describes a specific institutional installation. “Edition 3” is the manual revision, not a common software version.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The displayed allocations do not post entries to the authoritative accounting system. Interfaces and account assignments require their own agreement.</w:t>
      </w:r>
    </w:p>
    <w:p>
      <w:pPr>
        <w:ind w:right="1800"/>
      </w:pPr>
      <w:hyperlink r:id="rId11">
        <w:r>
          <w:rPr>
            <w:rFonts w:ascii="Arial" w:hAnsi="Arial"/>
            <w:color w:val="047857"/>
            <w:u w:val="single"/>
          </w:rPr>
          <w:t xml:space="preserve">T-NEX Controlling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Dynamic AI Reporting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Natural-language data questions and editable reports.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Connected data sources, business descriptions of the data and a specific analysis question.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Draft reports and visualisations that can be reviewed, edited and shared with authorised people.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Roles in the assessment:</w:t>
      </w:r>
      <w:r>
        <w:rPr>
          <w:rFonts w:ascii="Arial" w:hAnsi="Arial"/>
        </w:rPr>
        <w:t xml:space="preserve"> Report authors, authorised readers and administration.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Ask for a known metric from a defined source, compare its calculation and filters with the source analysis, then check sharing with a reader.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T-NEX product presentation of 2 July 2026 and the reporting and permission sections of the Controlling manual of 25 August 2026. Actual data integration is installation-specific.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A generated report needs business review. Data access, model configuration and permitted functions are part of setup.</w:t>
      </w:r>
    </w:p>
    <w:p>
      <w:pPr>
        <w:ind w:right="1800"/>
      </w:pPr>
      <w:hyperlink r:id="rId12">
        <w:r>
          <w:rPr>
            <w:rFonts w:ascii="Arial" w:hAnsi="Arial"/>
            <w:color w:val="047857"/>
            <w:u w:val="single"/>
          </w:rPr>
          <w:t xml:space="preserve">T-NEX Dynamic AI Reporting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Compliance, including requirement extraction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Connect regulations, requirements, assessments, gaps, remediation and audits.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Versioned external regulations and internal control documents.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Clauses with source references, approved requirements, assessments, assigned remediation and a report for the defined audit scope.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Roles in the assessment:</w:t>
      </w:r>
      <w:r>
        <w:rPr>
          <w:rFonts w:ascii="Arial" w:hAnsi="Arial"/>
        </w:rPr>
        <w:t xml:space="preserve"> Editing, assessment and approval with separate functional permissions.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Check a clause against the original, approve its requirement, review a proposed assessment and create an assigned remediation action. Then check the difference between a report draft and an issued report.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Compliance functional manual, 30 August 2026, application version 15.23.0, 58 pages. Documented sample workflows establish the described functional scope.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Requirement extraction is part of this workflow. It does not promise arbitrary invoice or credit-file processing. A software status does not determine the institution’s legal compliance.</w:t>
      </w:r>
    </w:p>
    <w:p>
      <w:pPr>
        <w:ind w:right="1800"/>
      </w:pPr>
      <w:hyperlink r:id="rId13">
        <w:r>
          <w:rPr>
            <w:rFonts w:ascii="Arial" w:hAnsi="Arial"/>
            <w:color w:val="047857"/>
            <w:u w:val="single"/>
          </w:rPr>
          <w:t xml:space="preserve">T-NEX Compliance</w:t>
        </w:r>
      </w:hyperlink>
      <w:r>
        <w:rPr>
          <w:rFonts w:ascii="Arial" w:hAnsi="Arial"/>
        </w:rPr>
        <w:t xml:space="preserve"> · </w:t>
      </w:r>
      <w:hyperlink r:id="rId14">
        <w:r>
          <w:rPr>
            <w:rFonts w:ascii="Arial" w:hAnsi="Arial"/>
            <w:color w:val="047857"/>
            <w:u w:val="single"/>
          </w:rPr>
          <w:t xml:space="preserve">Requirement extraction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PPM</w:t>
      </w:r>
    </w:p>
    <w:p>
      <w:pPr>
        <w:ind w:right="1800"/>
      </w:pPr>
      <w:r>
        <w:rPr>
          <w:rFonts w:ascii="Arial" w:hAnsi="Arial"/>
        </w:rPr>
        <w:t>Programme functionality is disabled by default in the documented release and is not yet fully developed. Its intended scope is assessed separately.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Projects, programmes, portfolios and resource decisions.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Project brief, work packages, dates, roles, resource needs and planning states.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Work breakdown structures and Gantt plans, baselines, resource requests and commitments, status reports and portfolio views.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Roles in the assessment:</w:t>
      </w:r>
      <w:r>
        <w:rPr>
          <w:rFonts w:ascii="Arial" w:hAnsi="Arial"/>
        </w:rPr>
        <w:t xml:space="preserve"> Project management, PMO and line management; the functional documentation distinguishes seven system roles.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Record a need in the project plan, submit a resource request, decide as the line manager and trace the effect on planning and status. Review AI suggestions before adopting them.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PPM functional documentation, 30 August 2026, frontend 0.8.5, server 15.23.0, 107 pages.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Requested capacity is not yet a committed resource. Roles, organisation structure and interfaces are configured for the project. The documented version is not a blanket version for all T-NEX applications.</w:t>
      </w:r>
    </w:p>
    <w:p>
      <w:pPr>
        <w:ind w:right="1800"/>
      </w:pPr>
      <w:hyperlink r:id="rId15">
        <w:r>
          <w:rPr>
            <w:rFonts w:ascii="Arial" w:hAnsi="Arial"/>
            <w:color w:val="047857"/>
            <w:u w:val="single"/>
          </w:rPr>
          <w:t xml:space="preserve">T-NEX PPM for institutions</w:t>
        </w:r>
      </w:hyperlink>
      <w:r>
        <w:rPr>
          <w:rFonts w:ascii="Arial" w:hAnsi="Arial"/>
        </w:rPr>
        <w:t xml:space="preserve"> · </w:t>
      </w:r>
      <w:hyperlink r:id="rId16">
        <w:r>
          <w:rPr>
            <w:rFonts w:ascii="Arial" w:hAnsi="Arial"/>
            <w:color w:val="047857"/>
            <w:u w:val="single"/>
          </w:rPr>
          <w:t xml:space="preserve">T-NEX PPM for companies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Fraud Detection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Rule-based transaction monitoring and AI-assisted case triage.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Agreed transaction and context data, plus a configured ruleset.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Matches grouped into cases, supporting transactions, an AI assessment, analyst decisions and an audit trail. The documentation describes nine rule types and retrospective rule testing.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Roles in the assessment:</w:t>
      </w:r>
      <w:r>
        <w:rPr>
          <w:rFonts w:ascii="Arial" w:hAnsi="Arial"/>
        </w:rPr>
        <w:t xml:space="preserve"> Analysts, team leads and administration with the required permissions.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Work through an unusual and a routine sample case, explain the rule trigger and record the analyst’s decision. Also test a failed AI call and continued manual handling.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Fraud Detection functional manual, 30 August 2026, application version 15.23.0, 23 pages.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An anomaly does not establish a crime. Payment blocking, external suspicious-activity reporting, production volumes and detection quality are separate assessment items.</w:t>
      </w:r>
    </w:p>
    <w:p>
      <w:pPr>
        <w:ind w:right="1800"/>
      </w:pPr>
      <w:hyperlink r:id="rId17">
        <w:r>
          <w:rPr>
            <w:rFonts w:ascii="Arial" w:hAnsi="Arial"/>
            <w:color w:val="047857"/>
            <w:u w:val="single"/>
          </w:rPr>
          <w:t xml:space="preserve">T-NEX Fraud Detection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Banking Platform and custom extensions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Connect business applications, permissions and additional tasks in a configured environment.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Inputs:</w:t>
      </w:r>
      <w:r>
        <w:rPr>
          <w:rFonts w:ascii="Arial" w:hAnsi="Arial"/>
        </w:rPr>
        <w:t xml:space="preserve"> Required module selection, data models, user groups and workflows to integrate.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Results:</w:t>
      </w:r>
      <w:r>
        <w:rPr>
          <w:rFonts w:ascii="Arial" w:hAnsi="Arial"/>
        </w:rPr>
        <w:t xml:space="preserve"> A module combination configured for the engagement. App Studio supports applications with their own interface, data and permissions.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Define the data model, interface, permissions and import/export needs for a limited extension. Then test the workflow through different roles.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Documentation basis:</w:t>
      </w:r>
      <w:r>
        <w:rPr>
          <w:rFonts w:ascii="Arial" w:hAnsi="Arial"/>
        </w:rPr>
        <w:t xml:space="preserve"> Controlling manual, 25 August 2026, particularly module selection, administration and chapter 29.4 on App Studio. The MONTEE user documentation of 29 August 2026 also describes embedded platform administration in a customer-specific business application.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Applications and products do not automatically share a database, version or enabled module selection. Custom development has its own service scope and acceptance criteria.</w:t>
      </w:r>
    </w:p>
    <w:p>
      <w:pPr>
        <w:ind w:right="1800"/>
      </w:pPr>
      <w:hyperlink r:id="rId18">
        <w:r>
          <w:rPr>
            <w:rFonts w:ascii="Arial" w:hAnsi="Arial"/>
            <w:color w:val="047857"/>
            <w:u w:val="single"/>
          </w:rPr>
          <w:t xml:space="preserve">Banking Platform</w:t>
        </w:r>
      </w:hyperlink>
      <w:r>
        <w:rPr>
          <w:rFonts w:ascii="Arial" w:hAnsi="Arial"/>
        </w:rPr>
        <w:t xml:space="preserve"> · </w:t>
      </w:r>
      <w:hyperlink r:id="rId19">
        <w:r>
          <w:rPr>
            <w:rFonts w:ascii="Arial" w:hAnsi="Arial"/>
            <w:color w:val="047857"/>
            <w:u w:val="single"/>
          </w:rPr>
          <w:t xml:space="preserve">Regulated custom development</w:t>
        </w:r>
      </w:hyperlink>
    </w:p>
    <w:p>
      <w:pPr>
        <w:pStyle w:val="Heading2"/>
      </w:pPr>
      <w:r>
        <w:rPr>
          <w:rFonts w:ascii="Arial" w:hAnsi="Arial"/>
          <w:color w:val="000000"/>
        </w:rPr>
        <w:t>T-NEX AI Risk Manager</w:t>
      </w:r>
    </w:p>
    <w:p>
      <w:pPr>
        <w:ind w:right="1800"/>
      </w:pPr>
      <w:r>
        <w:rPr>
          <w:rFonts w:ascii="Arial" w:hAnsi="Arial"/>
          <w:b/>
        </w:rPr>
        <w:t>Purpose:</w:t>
      </w:r>
      <w:r>
        <w:rPr>
          <w:rFonts w:ascii="Arial" w:hAnsi="Arial"/>
        </w:rPr>
        <w:t xml:space="preserve"> Risk register, controls, incident links and textual scenario assessments.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Documented state:</w:t>
      </w:r>
      <w:r>
        <w:rPr>
          <w:rFonts w:ascii="Arial" w:hAnsi="Arial"/>
        </w:rPr>
        <w:t xml:space="preserve"> Product demonstration from the T-NEX presentation of 2 July 2026. It shows functions using sample data and does not establish an institutional deployment.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Assessment task:</w:t>
      </w:r>
      <w:r>
        <w:rPr>
          <w:rFonts w:ascii="Arial" w:hAnsi="Arial"/>
        </w:rPr>
        <w:t xml:space="preserve"> Derive a risk proposal from a recorded incident, trace its associated controls and examine the assumptions behind a textual scenario assessment.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>Scope boundary:</w:t>
      </w:r>
      <w:r>
        <w:rPr>
          <w:rFonts w:ascii="Arial" w:hAnsi="Arial"/>
        </w:rPr>
        <w:t xml:space="preserve"> Scenario analysis is not a validated quantitative stress test. Applying it to an institution’s own workflow is assessed as a project.</w:t>
      </w:r>
    </w:p>
    <w:p>
      <w:pPr>
        <w:ind w:right="1800"/>
      </w:pPr>
      <w:hyperlink r:id="rId20">
        <w:r>
          <w:rPr>
            <w:rFonts w:ascii="Arial" w:hAnsi="Arial"/>
            <w:color w:val="047857"/>
            <w:u w:val="single"/>
          </w:rPr>
          <w:t xml:space="preserve">T-NEX AI Risk Manager</w:t>
        </w:r>
      </w:hyperlink>
    </w:p>
    <w:p>
      <w:pPr>
        <w:pStyle w:val="Heading1"/>
      </w:pPr>
      <w:r>
        <w:rPr>
          <w:rFonts w:ascii="Arial" w:hAnsi="Arial"/>
          <w:color w:val="000000"/>
        </w:rPr>
        <w:t>3. Assessment matrix for your demonstration</w:t>
      </w:r>
    </w:p>
    <w:p>
      <w:pPr>
        <w:ind w:right="1800"/>
      </w:pPr>
      <w:r>
        <w:rPr>
          <w:rFonts w:ascii="Arial" w:hAnsi="Arial"/>
        </w:rPr>
        <w:t>Copy rows for additional cases. Record observations and open questions separately from commitments.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914"/>
        <w:gridCol w:w="2389"/>
        <w:gridCol w:w="1335"/>
        <w:gridCol w:w="2670"/>
        <w:gridCol w:w="2530"/>
        <w:gridCol w:w="1827"/>
        <w:gridCol w:w="2389"/>
      </w:tblGrid>
      <w:tr>
        <w:trPr>
          <w:cantSplit/>
          <w:tblHeader w:val="true"/>
        </w:trPr>
        <w:tc>
          <w:tcPr>
            <w:tcW w:type="dxa" w:w="9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ID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Your requirement</w:t>
            </w:r>
          </w:p>
        </w:tc>
        <w:tc>
          <w:tcPr>
            <w:tcW w:type="dxa" w:w="133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Mandatory/Optional</w:t>
            </w:r>
          </w:p>
        </w:tc>
        <w:tc>
          <w:tcPr>
            <w:tcW w:type="dxa" w:w="267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Expected evidence</w:t>
            </w:r>
          </w:p>
        </w:tc>
        <w:tc>
          <w:tcPr>
            <w:tcW w:type="dxa" w:w="253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Observation or document version</w:t>
            </w:r>
          </w:p>
        </w:tc>
        <w:tc>
          <w:tcPr>
            <w:tcW w:type="dxa" w:w="1827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Met/Open/Not met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Owner and next step</w:t>
            </w:r>
          </w:p>
        </w:tc>
      </w:tr>
      <w:tr>
        <w:trPr>
          <w:cantSplit/>
        </w:trPr>
        <w:tc>
          <w:tcPr>
            <w:tcW w:type="dxa" w:w="91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F01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[specific workflow]</w:t>
            </w:r>
          </w:p>
        </w:tc>
        <w:tc>
          <w:tcPr>
            <w:tcW w:type="dxa" w:w="133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[select]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[demonstration/document/test]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1827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914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F02</w:t>
            </w:r>
          </w:p>
        </w:tc>
        <w:tc>
          <w:tcPr>
            <w:tcW w:type="dxa" w:w="2389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[data source and connection]</w:t>
            </w:r>
          </w:p>
        </w:tc>
        <w:tc>
          <w:tcPr>
            <w:tcW w:type="dxa" w:w="1335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[select]</w:t>
            </w:r>
          </w:p>
        </w:tc>
        <w:tc>
          <w:tcPr>
            <w:tcW w:type="dxa" w:w="2670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[import/interface test]</w:t>
            </w:r>
          </w:p>
        </w:tc>
        <w:tc>
          <w:tcPr>
            <w:tcW w:type="dxa" w:w="2530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1827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2389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91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F03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[roles and restricted access]</w:t>
            </w:r>
          </w:p>
        </w:tc>
        <w:tc>
          <w:tcPr>
            <w:tcW w:type="dxa" w:w="133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[select]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[check using two roles]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1827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914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F04</w:t>
            </w:r>
          </w:p>
        </w:tc>
        <w:tc>
          <w:tcPr>
            <w:tcW w:type="dxa" w:w="2389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[error or exception case]</w:t>
            </w:r>
          </w:p>
        </w:tc>
        <w:tc>
          <w:tcPr>
            <w:tcW w:type="dxa" w:w="1335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[select]</w:t>
            </w:r>
          </w:p>
        </w:tc>
        <w:tc>
          <w:tcPr>
            <w:tcW w:type="dxa" w:w="2670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[failure and continued handling]</w:t>
            </w:r>
          </w:p>
        </w:tc>
        <w:tc>
          <w:tcPr>
            <w:tcW w:type="dxa" w:w="2530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1827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2389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91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F05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[export, report or handover]</w:t>
            </w:r>
          </w:p>
        </w:tc>
        <w:tc>
          <w:tcPr>
            <w:tcW w:type="dxa" w:w="133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[select]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[sample file and criterion]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1827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[complete]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4. Define integration and operations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341"/>
        <w:gridCol w:w="8714"/>
      </w:tblGrid>
      <w:tr>
        <w:trPr>
          <w:cantSplit/>
          <w:tblHeader w:val="true"/>
        </w:trPr>
        <w:tc>
          <w:tcPr>
            <w:tcW w:type="dxa" w:w="534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Topic</w:t>
            </w:r>
          </w:p>
        </w:tc>
        <w:tc>
          <w:tcPr>
            <w:tcW w:type="dxa" w:w="87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Record for your project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Module selection and version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[products, enabled functions, configuration]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Data sources and interfaces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[authoritative system, fields, format, frequency, error handling]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Permissions and identities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[roles, sign-in, administrative access, changes]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AI processing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[purpose, permitted content, model/service, human review, failure handling]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Infrastructure and data locations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[account owner, environment, storage and backup locations, connected services]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Operating tasks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[maintenance, monitoring, incidents, responsible people, support hours]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Backups and recovery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[scope, retention, desired objectives, agreed verification]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Contract and data protection documents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[required documents for the actual parties and data flows]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Costs and changes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[setup, licences, infrastructure, support, additional scope]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Export and provider transition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[formats, access, documentation, rights, handover steps]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Acceptance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[test cases, participants, result and remaining points]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5. Assessment result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Selected solution scope: [complete]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Assessed version and configuration: [complete]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Evidence used and assessment results: [complete]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Open business or technical questions: [complete]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Agreed next step, owner and date: [complete]</w:t>
      </w:r>
    </w:p>
    <w:p>
      <w:pPr>
        <w:ind w:right="1800"/>
      </w:pPr>
      <w:r>
        <w:rPr>
          <w:rFonts w:ascii="Arial" w:hAnsi="Arial"/>
        </w:rPr>
        <w:t>This document is a public summary and worksheet. The cited manuals are not being provided as a complete public download collection. Available project-specific evidence and operational commitments are identified for the procurement exercise.</w:t>
      </w:r>
    </w:p>
    <w:p>
      <w:pPr>
        <w:ind w:right="1800"/>
      </w:pPr>
      <w:hyperlink r:id="rId21">
        <w:r>
          <w:rPr>
            <w:rFonts w:ascii="Arial" w:hAnsi="Arial"/>
            <w:color w:val="047857"/>
            <w:u w:val="single"/>
          </w:rPr>
          <w:t xml:space="preserve">Technical evidence</w:t>
        </w:r>
      </w:hyperlink>
      <w:r>
        <w:rPr>
          <w:rFonts w:ascii="Arial" w:hAnsi="Arial"/>
        </w:rPr>
        <w:t xml:space="preserve"> · </w:t>
      </w:r>
      <w:hyperlink r:id="rId22">
        <w:r>
          <w:rPr>
            <w:rFonts w:ascii="Arial" w:hAnsi="Arial"/>
            <w:color w:val="047857"/>
            <w:u w:val="single"/>
          </w:rPr>
          <w:t xml:space="preserve">Hosting and operations</w:t>
        </w:r>
      </w:hyperlink>
      <w:r>
        <w:rPr>
          <w:rFonts w:ascii="Arial" w:hAnsi="Arial"/>
        </w:rPr>
        <w:t xml:space="preserve"> · </w:t>
      </w:r>
      <w:hyperlink r:id="rId23">
        <w:r>
          <w:rPr>
            <w:rFonts w:ascii="Arial" w:hAnsi="Arial"/>
            <w:color w:val="047857"/>
            <w:u w:val="single"/>
          </w:rPr>
          <w:t xml:space="preserve">Discuss your project</w:t>
        </w:r>
      </w:hyperlink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-nex.de/en/institutions/products/ai-controlling-hub/" TargetMode="External"/><Relationship Id="rId12" Type="http://schemas.openxmlformats.org/officeDocument/2006/relationships/hyperlink" Target="https://t-nex.de/en/institutions/products/ai-reporting/" TargetMode="External"/><Relationship Id="rId13" Type="http://schemas.openxmlformats.org/officeDocument/2006/relationships/hyperlink" Target="https://t-nex.de/en/institutions/products/ai-compliance-hub/" TargetMode="External"/><Relationship Id="rId14" Type="http://schemas.openxmlformats.org/officeDocument/2006/relationships/hyperlink" Target="https://t-nex.de/en/institutions/products/document-extraction/" TargetMode="External"/><Relationship Id="rId15" Type="http://schemas.openxmlformats.org/officeDocument/2006/relationships/hyperlink" Target="https://t-nex.de/en/institutions/products/ai-project-management/" TargetMode="External"/><Relationship Id="rId16" Type="http://schemas.openxmlformats.org/officeDocument/2006/relationships/hyperlink" Target="https://t-nex.de/en/companies/products/project-portfolio-management/" TargetMode="External"/><Relationship Id="rId17" Type="http://schemas.openxmlformats.org/officeDocument/2006/relationships/hyperlink" Target="https://t-nex.de/en/institutions/products/fraud-detection/" TargetMode="External"/><Relationship Id="rId18" Type="http://schemas.openxmlformats.org/officeDocument/2006/relationships/hyperlink" Target="https://t-nex.de/en/institutions/products/banking-platform/" TargetMode="External"/><Relationship Id="rId19" Type="http://schemas.openxmlformats.org/officeDocument/2006/relationships/hyperlink" Target="https://t-nex.de/en/institutions/services/regulated-software-development/" TargetMode="External"/><Relationship Id="rId20" Type="http://schemas.openxmlformats.org/officeDocument/2006/relationships/hyperlink" Target="https://t-nex.de/en/institutions/products/ai-risk-manager/" TargetMode="External"/><Relationship Id="rId21" Type="http://schemas.openxmlformats.org/officeDocument/2006/relationships/hyperlink" Target="https://t-nex.de/en/institutions/evidence/" TargetMode="External"/><Relationship Id="rId22" Type="http://schemas.openxmlformats.org/officeDocument/2006/relationships/hyperlink" Target="https://t-nex.de/en/institutions/services/secure-hosting/" TargetMode="External"/><Relationship Id="rId23" Type="http://schemas.openxmlformats.org/officeDocument/2006/relationships/hyperlink" Target="https://t-nex.de/en/institutions/contact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T-NEX: procurement overview and product assessment worksheet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