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color w:val="000000"/>
        </w:rPr>
        <w:t>Bank records: retention and deletion decision</w:t>
      </w:r>
    </w:p>
    <w:p>
      <w:pPr>
        <w:ind w:right="1800"/>
      </w:pPr>
      <w:r>
        <w:rPr>
          <w:rFonts w:ascii="Arial" w:hAnsi="Arial"/>
        </w:rPr>
        <w:t>Version: 11 September 2026</w:t>
      </w:r>
    </w:p>
    <w:p>
      <w:pPr>
        <w:pStyle w:val="Heading1"/>
      </w:pPr>
      <w:r>
        <w:rPr>
          <w:rFonts w:ascii="Arial" w:hAnsi="Arial"/>
          <w:color w:val="000000"/>
        </w:rPr>
        <w:t>Identify the record class</w:t>
      </w:r>
    </w:p>
    <w:p>
      <w:pPr>
        <w:ind w:right="1800"/>
      </w:pPr>
      <w:r>
        <w:rPr>
          <w:rFonts w:ascii="Arial" w:hAnsi="Arial"/>
        </w:rPr>
        <w:t>Legal entity: [enter]</w:t>
        <w:br/>
        <w:t>Record / data class: [enter]</w:t>
        <w:br/>
        <w:t>Content and purpose: [enter]</w:t>
        <w:br/>
        <w:t>Authoritative system and other copies: [enter]</w:t>
        <w:br/>
        <w:t>Business owner: [enter]</w:t>
      </w:r>
    </w:p>
    <w:p>
      <w:pPr>
        <w:pStyle w:val="Heading1"/>
      </w:pPr>
      <w:r>
        <w:rPr>
          <w:rFonts w:ascii="Arial" w:hAnsi="Arial"/>
          <w:color w:val="000000"/>
        </w:rPr>
        <w:t>Map the rules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2389"/>
        <w:gridCol w:w="2670"/>
        <w:gridCol w:w="2530"/>
        <w:gridCol w:w="2389"/>
        <w:gridCol w:w="1968"/>
        <w:gridCol w:w="2108"/>
      </w:tblGrid>
      <w:tr>
        <w:trPr>
          <w:cantSplit/>
          <w:tblHeader w:val="true"/>
        </w:trPr>
        <w:tc>
          <w:tcPr>
            <w:tcW w:type="dxa" w:w="2389"/>
            <w:vAlign w:val="center"/>
            <w:shd w:fill="222222"/>
          </w:tcPr>
          <w:p>
            <w:pPr>
              <w:keepNext/>
              <w:spacing w:after="0" w:before="0" w:line="264" w:lineRule="auto"/>
            </w:pPr>
            <w:r>
              <w:rPr>
                <w:rFonts w:ascii="Arial" w:hAnsi="Arial"/>
                <w:b/>
                <w:color w:val="FFFFFF"/>
                <w:sz w:val="20"/>
              </w:rPr>
              <w:t>Legal provision</w:t>
            </w:r>
          </w:p>
        </w:tc>
        <w:tc>
          <w:tcPr>
            <w:tcW w:type="dxa" w:w="2670"/>
            <w:vAlign w:val="center"/>
            <w:shd w:fill="222222"/>
          </w:tcPr>
          <w:p>
            <w:pPr>
              <w:keepNext/>
              <w:spacing w:after="0" w:before="0" w:line="264" w:lineRule="auto"/>
            </w:pPr>
            <w:r>
              <w:rPr>
                <w:rFonts w:ascii="Arial" w:hAnsi="Arial"/>
                <w:b/>
                <w:color w:val="FFFFFF"/>
                <w:sz w:val="20"/>
              </w:rPr>
              <w:t>Relevant records</w:t>
            </w:r>
          </w:p>
        </w:tc>
        <w:tc>
          <w:tcPr>
            <w:tcW w:type="dxa" w:w="2530"/>
            <w:vAlign w:val="center"/>
            <w:shd w:fill="222222"/>
          </w:tcPr>
          <w:p>
            <w:pPr>
              <w:keepNext/>
              <w:spacing w:after="0" w:before="0" w:line="264" w:lineRule="auto"/>
            </w:pPr>
            <w:r>
              <w:rPr>
                <w:rFonts w:ascii="Arial" w:hAnsi="Arial"/>
                <w:b/>
                <w:color w:val="FFFFFF"/>
                <w:sz w:val="20"/>
              </w:rPr>
              <w:t>Period</w:t>
            </w:r>
          </w:p>
        </w:tc>
        <w:tc>
          <w:tcPr>
            <w:tcW w:type="dxa" w:w="2389"/>
            <w:vAlign w:val="center"/>
            <w:shd w:fill="222222"/>
          </w:tcPr>
          <w:p>
            <w:pPr>
              <w:keepNext/>
              <w:spacing w:after="0" w:before="0" w:line="264" w:lineRule="auto"/>
            </w:pPr>
            <w:r>
              <w:rPr>
                <w:rFonts w:ascii="Arial" w:hAnsi="Arial"/>
                <w:b/>
                <w:color w:val="FFFFFF"/>
                <w:sz w:val="20"/>
              </w:rPr>
              <w:t>Starting trigger</w:t>
            </w:r>
          </w:p>
        </w:tc>
        <w:tc>
          <w:tcPr>
            <w:tcW w:type="dxa" w:w="1968"/>
            <w:vAlign w:val="center"/>
            <w:shd w:fill="222222"/>
          </w:tcPr>
          <w:p>
            <w:pPr>
              <w:keepNext/>
              <w:spacing w:after="0" w:before="0" w:line="264" w:lineRule="auto"/>
            </w:pPr>
            <w:r>
              <w:rPr>
                <w:rFonts w:ascii="Arial" w:hAnsi="Arial"/>
                <w:b/>
                <w:color w:val="FFFFFF"/>
                <w:sz w:val="20"/>
              </w:rPr>
              <w:t>Transitional rule</w:t>
            </w:r>
          </w:p>
        </w:tc>
        <w:tc>
          <w:tcPr>
            <w:tcW w:type="dxa" w:w="2108"/>
            <w:vAlign w:val="center"/>
            <w:shd w:fill="222222"/>
          </w:tcPr>
          <w:p>
            <w:pPr>
              <w:keepNext/>
              <w:spacing w:after="0" w:before="0" w:line="264" w:lineRule="auto"/>
            </w:pPr>
            <w:r>
              <w:rPr>
                <w:rFonts w:ascii="Arial" w:hAnsi="Arial"/>
                <w:b/>
                <w:color w:val="FFFFFF"/>
                <w:sz w:val="20"/>
              </w:rPr>
              <w:t>Decision</w:t>
            </w:r>
          </w:p>
        </w:tc>
      </w:tr>
      <w:tr>
        <w:trPr>
          <w:cantSplit/>
        </w:trPr>
        <w:tc>
          <w:tcPr>
            <w:tcW w:type="dxa" w:w="2389"/>
            <w:vAlign w:val="center"/>
            <w:shd w:fill="FFFFFF"/>
          </w:tcPr>
          <w:p>
            <w:pPr>
              <w:spacing w:after="0" w:before="0" w:line="264" w:lineRule="auto"/>
              <w:jc w:val="center"/>
            </w:pPr>
            <w:r>
              <w:rPr>
                <w:rFonts w:ascii="Arial" w:hAnsi="Arial"/>
                <w:color w:val="111111"/>
                <w:sz w:val="20"/>
              </w:rPr>
              <w:t>[enter]</w:t>
            </w:r>
          </w:p>
        </w:tc>
        <w:tc>
          <w:tcPr>
            <w:tcW w:type="dxa" w:w="2670"/>
            <w:vAlign w:val="center"/>
            <w:shd w:fill="FFFFFF"/>
          </w:tcPr>
          <w:p>
            <w:pPr>
              <w:spacing w:after="0" w:before="0" w:line="264" w:lineRule="auto"/>
              <w:jc w:val="center"/>
            </w:pPr>
            <w:r>
              <w:rPr>
                <w:rFonts w:ascii="Arial" w:hAnsi="Arial"/>
                <w:color w:val="111111"/>
                <w:sz w:val="20"/>
              </w:rPr>
              <w:t>[enter]</w:t>
            </w:r>
          </w:p>
        </w:tc>
        <w:tc>
          <w:tcPr>
            <w:tcW w:type="dxa" w:w="2530"/>
            <w:vAlign w:val="center"/>
            <w:shd w:fill="FFFFFF"/>
          </w:tcPr>
          <w:p>
            <w:pPr>
              <w:spacing w:after="0" w:before="0" w:line="264" w:lineRule="auto"/>
              <w:jc w:val="center"/>
            </w:pPr>
            <w:r>
              <w:rPr>
                <w:rFonts w:ascii="Arial" w:hAnsi="Arial"/>
                <w:color w:val="111111"/>
                <w:sz w:val="20"/>
              </w:rPr>
              <w:t>[enter]</w:t>
            </w:r>
          </w:p>
        </w:tc>
        <w:tc>
          <w:tcPr>
            <w:tcW w:type="dxa" w:w="2389"/>
            <w:vAlign w:val="center"/>
            <w:shd w:fill="FFFFFF"/>
          </w:tcPr>
          <w:p>
            <w:pPr>
              <w:spacing w:after="0" w:before="0" w:line="264" w:lineRule="auto"/>
              <w:jc w:val="center"/>
            </w:pPr>
            <w:r>
              <w:rPr>
                <w:rFonts w:ascii="Arial" w:hAnsi="Arial"/>
                <w:color w:val="111111"/>
                <w:sz w:val="20"/>
              </w:rPr>
              <w:t>[enter]</w:t>
            </w:r>
          </w:p>
        </w:tc>
        <w:tc>
          <w:tcPr>
            <w:tcW w:type="dxa" w:w="1968"/>
            <w:vAlign w:val="center"/>
            <w:shd w:fill="FFFFFF"/>
          </w:tcPr>
          <w:p>
            <w:pPr>
              <w:spacing w:after="0" w:before="0" w:line="264" w:lineRule="auto"/>
              <w:jc w:val="center"/>
            </w:pPr>
            <w:r>
              <w:rPr>
                <w:rFonts w:ascii="Arial" w:hAnsi="Arial"/>
                <w:color w:val="111111"/>
                <w:sz w:val="20"/>
              </w:rPr>
              <w:t>[enter]</w:t>
            </w:r>
          </w:p>
        </w:tc>
        <w:tc>
          <w:tcPr>
            <w:tcW w:type="dxa" w:w="2108"/>
            <w:vAlign w:val="center"/>
            <w:shd w:fill="FFFFFF"/>
          </w:tcPr>
          <w:p>
            <w:pPr>
              <w:spacing w:after="0" w:before="0" w:line="264" w:lineRule="auto"/>
              <w:jc w:val="center"/>
            </w:pPr>
            <w:r>
              <w:rPr>
                <w:rFonts w:ascii="Arial" w:hAnsi="Arial"/>
                <w:color w:val="111111"/>
                <w:sz w:val="20"/>
              </w:rPr>
              <w:t>[enter]</w:t>
            </w:r>
          </w:p>
        </w:tc>
      </w:tr>
    </w:tbl>
    <w:p>
      <w:pPr>
        <w:spacing w:after="0"/>
      </w:pPr>
    </w:p>
    <w:p>
      <w:pPr>
        <w:ind w:right="1800"/>
      </w:pPr>
      <w:r>
        <w:rPr>
          <w:rFonts w:ascii="Arial" w:hAnsi="Arial"/>
        </w:rPr>
        <w:t>Checks for German bank records:</w:t>
      </w:r>
    </w:p>
    <w:p>
      <w:pPr>
        <w:spacing w:after="100"/>
        <w:ind w:left="259" w:hanging="259" w:right="1800"/>
      </w:pPr>
      <w:r>
        <w:rPr>
          <w:rFonts w:ascii="Arial" w:hAnsi="Arial"/>
        </w:rPr>
        <w:t>- HGB section 257: books and financial statements ten years; business correspondence six years. Accounting vouchers of the institutions listed in paragraph 4, second sentence, require ten years; do not simply apply the general eight-year period.</w:t>
      </w:r>
    </w:p>
    <w:p>
      <w:pPr>
        <w:spacing w:after="100"/>
        <w:ind w:left="259" w:hanging="259" w:right="1800"/>
      </w:pPr>
      <w:r>
        <w:rPr>
          <w:rFonts w:ascii="Arial" w:hAnsi="Arial"/>
        </w:rPr>
        <w:t>- AO section 147: assess tax records and unexpired tax-assessment periods separately.</w:t>
      </w:r>
    </w:p>
    <w:p>
      <w:pPr>
        <w:spacing w:after="100"/>
        <w:ind w:left="259" w:hanging="259" w:right="1800"/>
      </w:pPr>
      <w:r>
        <w:rPr>
          <w:rFonts w:ascii="Arial" w:hAnsi="Arial"/>
        </w:rPr>
        <w:t>- GwG section 8: generally five years, subject to longer statutory requirements; check the statutory destruction limit and specific starting event.</w:t>
      </w:r>
    </w:p>
    <w:p>
      <w:pPr>
        <w:spacing w:after="100"/>
        <w:ind w:left="259" w:hanging="259" w:right="1800"/>
      </w:pPr>
      <w:r>
        <w:rPr>
          <w:rFonts w:ascii="Arial" w:hAnsi="Arial"/>
        </w:rPr>
        <w:t>- Other data: assess necessity for the purpose and legal basis. Storage location alone does not establish a retention period.</w:t>
      </w:r>
    </w:p>
    <w:p>
      <w:pPr>
        <w:pStyle w:val="Heading1"/>
      </w:pPr>
      <w:r>
        <w:rPr>
          <w:rFonts w:ascii="Arial" w:hAnsi="Arial"/>
          <w:color w:val="000000"/>
        </w:rPr>
        <w:t>Calculate the date</w:t>
      </w:r>
    </w:p>
    <w:p>
      <w:pPr>
        <w:ind w:right="1800"/>
      </w:pPr>
      <w:r>
        <w:rPr>
          <w:rFonts w:ascii="Arial" w:hAnsi="Arial"/>
        </w:rPr>
        <w:t>Triggering event: [description and date]</w:t>
        <w:br/>
        <w:t>Statutory start: [date / year-end]</w:t>
        <w:br/>
        <w:t>Standard expiry: [date]</w:t>
        <w:br/>
        <w:t>Earliest deletion: [date, before assessing additional duties and holds]</w:t>
      </w:r>
    </w:p>
    <w:p>
      <w:pPr>
        <w:pStyle w:val="Heading1"/>
      </w:pPr>
      <w:r>
        <w:rPr>
          <w:rFonts w:ascii="Arial" w:hAnsi="Arial"/>
          <w:color w:val="000000"/>
        </w:rPr>
        <w:t>Decide exceptions and conflicts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2389"/>
        <w:gridCol w:w="2670"/>
        <w:gridCol w:w="2530"/>
        <w:gridCol w:w="2389"/>
        <w:gridCol w:w="1968"/>
        <w:gridCol w:w="2108"/>
      </w:tblGrid>
      <w:tr>
        <w:trPr>
          <w:cantSplit/>
          <w:tblHeader w:val="true"/>
        </w:trPr>
        <w:tc>
          <w:tcPr>
            <w:tcW w:type="dxa" w:w="2389"/>
            <w:vAlign w:val="center"/>
            <w:shd w:fill="222222"/>
          </w:tcPr>
          <w:p>
            <w:pPr>
              <w:keepNext/>
              <w:spacing w:after="0" w:before="0" w:line="264" w:lineRule="auto"/>
            </w:pPr>
            <w:r>
              <w:rPr>
                <w:rFonts w:ascii="Arial" w:hAnsi="Arial"/>
                <w:b/>
                <w:color w:val="FFFFFF"/>
                <w:sz w:val="20"/>
              </w:rPr>
              <w:t>Reason / hold</w:t>
            </w:r>
          </w:p>
        </w:tc>
        <w:tc>
          <w:tcPr>
            <w:tcW w:type="dxa" w:w="2670"/>
            <w:vAlign w:val="center"/>
            <w:shd w:fill="222222"/>
          </w:tcPr>
          <w:p>
            <w:pPr>
              <w:keepNext/>
              <w:spacing w:after="0" w:before="0" w:line="264" w:lineRule="auto"/>
            </w:pPr>
            <w:r>
              <w:rPr>
                <w:rFonts w:ascii="Arial" w:hAnsi="Arial"/>
                <w:b/>
                <w:color w:val="FFFFFF"/>
                <w:sz w:val="20"/>
              </w:rPr>
              <w:t>Specific legal basis</w:t>
            </w:r>
          </w:p>
        </w:tc>
        <w:tc>
          <w:tcPr>
            <w:tcW w:type="dxa" w:w="2530"/>
            <w:vAlign w:val="center"/>
            <w:shd w:fill="222222"/>
          </w:tcPr>
          <w:p>
            <w:pPr>
              <w:keepNext/>
              <w:spacing w:after="0" w:before="0" w:line="264" w:lineRule="auto"/>
            </w:pPr>
            <w:r>
              <w:rPr>
                <w:rFonts w:ascii="Arial" w:hAnsi="Arial"/>
                <w:b/>
                <w:color w:val="FFFFFF"/>
                <w:sz w:val="20"/>
              </w:rPr>
              <w:t>Affected records</w:t>
            </w:r>
          </w:p>
        </w:tc>
        <w:tc>
          <w:tcPr>
            <w:tcW w:type="dxa" w:w="2389"/>
            <w:vAlign w:val="center"/>
            <w:shd w:fill="222222"/>
          </w:tcPr>
          <w:p>
            <w:pPr>
              <w:keepNext/>
              <w:spacing w:after="0" w:before="0" w:line="264" w:lineRule="auto"/>
            </w:pPr>
            <w:r>
              <w:rPr>
                <w:rFonts w:ascii="Arial" w:hAnsi="Arial"/>
                <w:b/>
                <w:color w:val="FFFFFF"/>
                <w:sz w:val="20"/>
              </w:rPr>
              <w:t>Decision</w:t>
            </w:r>
          </w:p>
        </w:tc>
        <w:tc>
          <w:tcPr>
            <w:tcW w:type="dxa" w:w="1968"/>
            <w:vAlign w:val="center"/>
            <w:shd w:fill="222222"/>
          </w:tcPr>
          <w:p>
            <w:pPr>
              <w:keepNext/>
              <w:spacing w:after="0" w:before="0" w:line="264" w:lineRule="auto"/>
            </w:pPr>
            <w:r>
              <w:rPr>
                <w:rFonts w:ascii="Arial" w:hAnsi="Arial"/>
                <w:b/>
                <w:color w:val="FFFFFF"/>
                <w:sz w:val="20"/>
              </w:rPr>
              <w:t>Owner</w:t>
            </w:r>
          </w:p>
        </w:tc>
        <w:tc>
          <w:tcPr>
            <w:tcW w:type="dxa" w:w="2108"/>
            <w:vAlign w:val="center"/>
            <w:shd w:fill="222222"/>
          </w:tcPr>
          <w:p>
            <w:pPr>
              <w:keepNext/>
              <w:spacing w:after="0" w:before="0" w:line="264" w:lineRule="auto"/>
            </w:pPr>
            <w:r>
              <w:rPr>
                <w:rFonts w:ascii="Arial" w:hAnsi="Arial"/>
                <w:b/>
                <w:color w:val="FFFFFF"/>
                <w:sz w:val="20"/>
              </w:rPr>
              <w:t>Review date</w:t>
            </w:r>
          </w:p>
        </w:tc>
      </w:tr>
      <w:tr>
        <w:trPr>
          <w:cantSplit/>
        </w:trPr>
        <w:tc>
          <w:tcPr>
            <w:tcW w:type="dxa" w:w="2389"/>
            <w:vAlign w:val="center"/>
            <w:shd w:fill="FFFFFF"/>
          </w:tcPr>
          <w:p>
            <w:pPr>
              <w:spacing w:after="0" w:before="0" w:line="264" w:lineRule="auto"/>
              <w:jc w:val="center"/>
            </w:pPr>
            <w:r>
              <w:rPr>
                <w:rFonts w:ascii="Arial" w:hAnsi="Arial"/>
                <w:color w:val="111111"/>
                <w:sz w:val="20"/>
              </w:rPr>
              <w:t>[enter]</w:t>
            </w:r>
          </w:p>
        </w:tc>
        <w:tc>
          <w:tcPr>
            <w:tcW w:type="dxa" w:w="2670"/>
            <w:vAlign w:val="center"/>
            <w:shd w:fill="FFFFFF"/>
          </w:tcPr>
          <w:p>
            <w:pPr>
              <w:spacing w:after="0" w:before="0" w:line="264" w:lineRule="auto"/>
              <w:jc w:val="center"/>
            </w:pPr>
            <w:r>
              <w:rPr>
                <w:rFonts w:ascii="Arial" w:hAnsi="Arial"/>
                <w:color w:val="111111"/>
                <w:sz w:val="20"/>
              </w:rPr>
              <w:t>[enter]</w:t>
            </w:r>
          </w:p>
        </w:tc>
        <w:tc>
          <w:tcPr>
            <w:tcW w:type="dxa" w:w="2530"/>
            <w:vAlign w:val="center"/>
            <w:shd w:fill="FFFFFF"/>
          </w:tcPr>
          <w:p>
            <w:pPr>
              <w:spacing w:after="0" w:before="0" w:line="264" w:lineRule="auto"/>
              <w:jc w:val="center"/>
            </w:pPr>
            <w:r>
              <w:rPr>
                <w:rFonts w:ascii="Arial" w:hAnsi="Arial"/>
                <w:color w:val="111111"/>
                <w:sz w:val="20"/>
              </w:rPr>
              <w:t>[enter]</w:t>
            </w:r>
          </w:p>
        </w:tc>
        <w:tc>
          <w:tcPr>
            <w:tcW w:type="dxa" w:w="2389"/>
            <w:vAlign w:val="center"/>
            <w:shd w:fill="FFFFFF"/>
          </w:tcPr>
          <w:p>
            <w:pPr>
              <w:spacing w:after="0" w:before="0" w:line="264" w:lineRule="auto"/>
              <w:jc w:val="center"/>
            </w:pPr>
            <w:r>
              <w:rPr>
                <w:rFonts w:ascii="Arial" w:hAnsi="Arial"/>
                <w:color w:val="111111"/>
                <w:sz w:val="20"/>
              </w:rPr>
              <w:t>[enter]</w:t>
            </w:r>
          </w:p>
        </w:tc>
        <w:tc>
          <w:tcPr>
            <w:tcW w:type="dxa" w:w="1968"/>
            <w:vAlign w:val="center"/>
            <w:shd w:fill="FFFFFF"/>
          </w:tcPr>
          <w:p>
            <w:pPr>
              <w:spacing w:after="0" w:before="0" w:line="264" w:lineRule="auto"/>
              <w:jc w:val="center"/>
            </w:pPr>
            <w:r>
              <w:rPr>
                <w:rFonts w:ascii="Arial" w:hAnsi="Arial"/>
                <w:color w:val="111111"/>
                <w:sz w:val="20"/>
              </w:rPr>
              <w:t>[enter]</w:t>
            </w:r>
          </w:p>
        </w:tc>
        <w:tc>
          <w:tcPr>
            <w:tcW w:type="dxa" w:w="2108"/>
            <w:vAlign w:val="center"/>
            <w:shd w:fill="FFFFFF"/>
          </w:tcPr>
          <w:p>
            <w:pPr>
              <w:spacing w:after="0" w:before="0" w:line="264" w:lineRule="auto"/>
              <w:jc w:val="center"/>
            </w:pPr>
            <w:r>
              <w:rPr>
                <w:rFonts w:ascii="Arial" w:hAnsi="Arial"/>
                <w:color w:val="111111"/>
                <w:sz w:val="20"/>
              </w:rPr>
              <w:t>[date]</w:t>
            </w:r>
          </w:p>
        </w:tc>
      </w:tr>
    </w:tbl>
    <w:p>
      <w:pPr>
        <w:spacing w:after="0"/>
      </w:pPr>
    </w:p>
    <w:p>
      <w:pPr>
        <w:ind w:right="1800"/>
      </w:pPr>
      <w:r>
        <w:rPr>
          <w:rFonts w:ascii="Arial" w:hAnsi="Arial"/>
        </w:rPr>
        <w:t>Resolve overlapping obligations substantively. Where statutory maximum periods apply, do not merely select the latest calculated date. Retention does not authorise unrestricted reuse. Apply GDPR Article 18 only when its own conditions are satisfied.</w:t>
      </w:r>
    </w:p>
    <w:p>
      <w:pPr>
        <w:pStyle w:val="Heading1"/>
      </w:pPr>
      <w:r>
        <w:rPr>
          <w:rFonts w:ascii="Arial" w:hAnsi="Arial"/>
          <w:color w:val="000000"/>
        </w:rPr>
        <w:t>Evidence implementation</w:t>
      </w:r>
    </w:p>
    <w:p>
      <w:pPr>
        <w:spacing w:after="100"/>
        <w:ind w:left="259" w:hanging="259" w:right="1800"/>
      </w:pPr>
      <w:r>
        <w:rPr>
          <w:rFonts w:ascii="Arial" w:hAnsi="Arial"/>
        </w:rPr>
        <w:t>- Permitted archive access and purposes: [enter]</w:t>
      </w:r>
    </w:p>
    <w:p>
      <w:pPr>
        <w:spacing w:after="100"/>
        <w:ind w:left="259" w:hanging="259" w:right="1800"/>
      </w:pPr>
      <w:r>
        <w:rPr>
          <w:rFonts w:ascii="Arial" w:hAnsi="Arial"/>
        </w:rPr>
        <w:t>- Deletion method for each system and copy: [enter]</w:t>
      </w:r>
    </w:p>
    <w:p>
      <w:pPr>
        <w:spacing w:after="100"/>
        <w:ind w:left="259" w:hanging="259" w:right="1800"/>
      </w:pPr>
      <w:r>
        <w:rPr>
          <w:rFonts w:ascii="Arial" w:hAnsi="Arial"/>
        </w:rPr>
        <w:t>- Backups and reapplying deletion after restoration: [enter]</w:t>
      </w:r>
    </w:p>
    <w:p>
      <w:pPr>
        <w:spacing w:after="100"/>
        <w:ind w:left="259" w:hanging="259" w:right="1800"/>
      </w:pPr>
      <w:r>
        <w:rPr>
          <w:rFonts w:ascii="Arial" w:hAnsi="Arial"/>
        </w:rPr>
        <w:t>- Handling of an ongoing access or erasure request: [enter]</w:t>
      </w:r>
    </w:p>
    <w:p>
      <w:pPr>
        <w:spacing w:after="100"/>
        <w:ind w:left="259" w:hanging="259" w:right="1800"/>
      </w:pPr>
      <w:r>
        <w:rPr>
          <w:rFonts w:ascii="Arial" w:hAnsi="Arial"/>
        </w:rPr>
        <w:t>- Execution: [date / scope / outcome / exceptions]</w:t>
      </w:r>
    </w:p>
    <w:p>
      <w:pPr>
        <w:spacing w:after="100"/>
        <w:ind w:left="259" w:hanging="259" w:right="1800"/>
      </w:pPr>
      <w:r>
        <w:rPr>
          <w:rFonts w:ascii="Arial" w:hAnsi="Arial"/>
        </w:rPr>
        <w:t>- Review and approval: [person / date]</w:t>
      </w:r>
    </w:p>
    <w:p>
      <w:pPr>
        <w:pStyle w:val="Heading1"/>
      </w:pPr>
      <w:r>
        <w:rPr>
          <w:rFonts w:ascii="Arial" w:hAnsi="Arial"/>
          <w:color w:val="000000"/>
        </w:rPr>
        <w:t>Sources</w:t>
      </w:r>
    </w:p>
    <w:p>
      <w:pPr>
        <w:spacing w:after="100"/>
        <w:ind w:left="259" w:hanging="259" w:right="1800"/>
      </w:pPr>
      <w:r>
        <w:rPr>
          <w:rFonts w:ascii="Arial" w:hAnsi="Arial"/>
        </w:rPr>
        <w:t xml:space="preserve">- </w:t>
      </w:r>
      <w:hyperlink r:id="rId11">
        <w:r>
          <w:rPr>
            <w:rFonts w:ascii="Arial" w:hAnsi="Arial"/>
            <w:color w:val="047857"/>
            <w:u w:val="single"/>
          </w:rPr>
          <w:t xml:space="preserve">HGB section 257</w:t>
        </w:r>
      </w:hyperlink>
    </w:p>
    <w:p>
      <w:pPr>
        <w:spacing w:after="100"/>
        <w:ind w:left="259" w:hanging="259" w:right="1800"/>
      </w:pPr>
      <w:r>
        <w:rPr>
          <w:rFonts w:ascii="Arial" w:hAnsi="Arial"/>
        </w:rPr>
        <w:t xml:space="preserve">- </w:t>
      </w:r>
      <w:hyperlink r:id="rId12">
        <w:r>
          <w:rPr>
            <w:rFonts w:ascii="Arial" w:hAnsi="Arial"/>
            <w:color w:val="047857"/>
            <w:u w:val="single"/>
          </w:rPr>
          <w:t xml:space="preserve">AO section 147</w:t>
        </w:r>
      </w:hyperlink>
    </w:p>
    <w:p>
      <w:pPr>
        <w:spacing w:after="100"/>
        <w:ind w:left="259" w:hanging="259" w:right="1800"/>
      </w:pPr>
      <w:r>
        <w:rPr>
          <w:rFonts w:ascii="Arial" w:hAnsi="Arial"/>
        </w:rPr>
        <w:t xml:space="preserve">- </w:t>
      </w:r>
      <w:hyperlink r:id="rId13">
        <w:r>
          <w:rPr>
            <w:rFonts w:ascii="Arial" w:hAnsi="Arial"/>
            <w:color w:val="047857"/>
            <w:u w:val="single"/>
          </w:rPr>
          <w:t xml:space="preserve">GwG section 8</w:t>
        </w:r>
      </w:hyperlink>
    </w:p>
    <w:p>
      <w:pPr>
        <w:spacing w:after="100"/>
        <w:ind w:left="259" w:hanging="259" w:right="1800"/>
      </w:pPr>
      <w:r>
        <w:rPr>
          <w:rFonts w:ascii="Arial" w:hAnsi="Arial"/>
        </w:rPr>
        <w:t xml:space="preserve">- </w:t>
      </w:r>
      <w:hyperlink r:id="rId14">
        <w:r>
          <w:rPr>
            <w:rFonts w:ascii="Arial" w:hAnsi="Arial"/>
            <w:color w:val="047857"/>
            <w:u w:val="single"/>
          </w:rPr>
          <w:t xml:space="preserve">GDPR Articles 5, 17 and 18</w:t>
        </w:r>
      </w:hyperlink>
    </w:p>
    <w:sectPr w:rsidR="00FC693F" w:rsidRPr="0006063C" w:rsidSect="00034616">
      <w:headerReference w:type="default" r:id="rId9"/>
      <w:footerReference w:type="default" r:id="rId10"/>
      <w:pgSz w:w="15840" w:h="12240" w:orient="landscape"/>
      <w:pgMar w:top="965" w:right="893" w:bottom="893" w:left="893"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Arial" w:hAnsi="Arial"/>
        <w:color w:val="666666"/>
        <w:sz w:val="17"/>
      </w:rPr>
      <w:t xml:space="preserve">T-NEX  ·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55448" cy="138793"/>
          <wp:docPr id="1" name="Picture 1"/>
          <wp:cNvGraphicFramePr>
            <a:graphicFrameLocks noChangeAspect="1"/>
          </wp:cNvGraphicFramePr>
          <a:graphic>
            <a:graphicData uri="http://schemas.openxmlformats.org/drawingml/2006/picture">
              <pic:pic>
                <pic:nvPicPr>
                  <pic:cNvPr id="0" name="tnex-chevron.png"/>
                  <pic:cNvPicPr/>
                </pic:nvPicPr>
                <pic:blipFill>
                  <a:blip r:embed="rId1"/>
                  <a:stretch>
                    <a:fillRect/>
                  </a:stretch>
                </pic:blipFill>
                <pic:spPr>
                  <a:xfrm>
                    <a:off x="0" y="0"/>
                    <a:ext cx="155448" cy="138793"/>
                  </a:xfrm>
                  <a:prstGeom prst="rect"/>
                </pic:spPr>
              </pic:pic>
            </a:graphicData>
          </a:graphic>
        </wp:inline>
      </w:drawing>
    </w:r>
    <w:r>
      <w:rPr>
        <w:rFonts w:ascii="Arial" w:hAnsi="Arial"/>
        <w:b/>
        <w:color w:val="000000"/>
        <w:sz w:val="21"/>
      </w:rPr>
      <w:t xml:space="preserve"> T-NEX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64" w:lineRule="auto"/>
    </w:pPr>
    <w:rPr>
      <w:rFonts w:ascii="Arial" w:hAnsi="Arial"/>
      <w:color w:val="000000"/>
      <w:sz w:val="21"/>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64" w:lineRule="auto"/>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line="264"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60" w:after="140" w:line="264"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64"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64" w:lineRule="auto"/>
    </w:pPr>
    <w:rPr>
      <w:rFonts w:asciiTheme="majorHAnsi" w:eastAsiaTheme="majorEastAsia" w:hAnsiTheme="majorHAnsi" w:cstheme="majorBidi" w:ascii="Arial" w:hAnsi="Arial"/>
      <w:i/>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esetze-im-internet.de/hgb/__257.html" TargetMode="External"/><Relationship Id="rId12" Type="http://schemas.openxmlformats.org/officeDocument/2006/relationships/hyperlink" Target="https://www.gesetze-im-internet.de/ao_1977/__147.html" TargetMode="External"/><Relationship Id="rId13" Type="http://schemas.openxmlformats.org/officeDocument/2006/relationships/hyperlink" Target="https://www.gesetze-im-internet.de/gwg_2017/__8.html" TargetMode="External"/><Relationship Id="rId14" Type="http://schemas.openxmlformats.org/officeDocument/2006/relationships/hyperlink" Target="https://eur-lex.europa.eu/eli/reg/2016/679/o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records: retention and deletion decision</dc:title>
  <dc:subject>T-NEX working material</dc:subject>
  <dc:creator>T-NEX GmbH</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