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Bankunterlagen: Fristen- und Löschentscheidung</w:t>
      </w:r>
    </w:p>
    <w:p>
      <w:pPr>
        <w:ind w:right="1800"/>
      </w:pPr>
      <w:r>
        <w:rPr>
          <w:rFonts w:ascii="Arial" w:hAnsi="Arial"/>
        </w:rPr>
        <w:t>Version: 11.09.2026</w:t>
      </w:r>
    </w:p>
    <w:p>
      <w:pPr>
        <w:pStyle w:val="Heading1"/>
      </w:pPr>
      <w:r>
        <w:rPr>
          <w:rFonts w:ascii="Arial" w:hAnsi="Arial"/>
          <w:color w:val="000000"/>
        </w:rPr>
        <w:t>Dokumentklasse bestimmen</w:t>
      </w:r>
    </w:p>
    <w:p>
      <w:pPr>
        <w:ind w:right="1800"/>
      </w:pPr>
      <w:r>
        <w:rPr>
          <w:rFonts w:ascii="Arial" w:hAnsi="Arial"/>
        </w:rPr>
        <w:t>Rechtsträger: [eintragen]</w:t>
        <w:br/>
        <w:t>Dokument- / Datenklasse: [eintragen]</w:t>
        <w:br/>
        <w:t>Inhalt und Zweck: [eintragen]</w:t>
        <w:br/>
        <w:t>Führendes System und weitere Kopien: [eintragen]</w:t>
        <w:br/>
        <w:t>Fachlich verantwortlich: [eintragen]</w:t>
      </w:r>
    </w:p>
    <w:p>
      <w:pPr>
        <w:pStyle w:val="Heading1"/>
      </w:pPr>
      <w:r>
        <w:rPr>
          <w:rFonts w:ascii="Arial" w:hAnsi="Arial"/>
          <w:color w:val="000000"/>
        </w:rPr>
        <w:t>Regeln zuordnen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2389"/>
        <w:gridCol w:w="2670"/>
        <w:gridCol w:w="2530"/>
        <w:gridCol w:w="2389"/>
        <w:gridCol w:w="1968"/>
        <w:gridCol w:w="2108"/>
      </w:tblGrid>
      <w:tr>
        <w:trPr>
          <w:cantSplit/>
          <w:tblHeader w:val="true"/>
        </w:trPr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Rechtsgrundlage / Fundstelle</w:t>
            </w:r>
          </w:p>
        </w:tc>
        <w:tc>
          <w:tcPr>
            <w:tcW w:type="dxa" w:w="267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Dokumentbezug</w:t>
            </w:r>
          </w:p>
        </w:tc>
        <w:tc>
          <w:tcPr>
            <w:tcW w:type="dxa" w:w="253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Dauer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Auslöser des Fristbeginns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Übergangsregel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Entscheidung</w:t>
            </w:r>
          </w:p>
        </w:tc>
      </w:tr>
      <w:tr>
        <w:trPr>
          <w:cantSplit/>
        </w:trPr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Prüfpunkte für deutsche Bankunterlagen: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HGB § 257: Handelsbücher und Abschlüsse zehn Jahre; Handelsbriefe sechs Jahre. Für Buchungsbelege der in Absatz 4 Satz 2 genannten Institute gilt zehn Jahre, nicht pauschal die allgemeine Achtjahresfrist.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AO § 147: steuerliche Unterlagen und noch offene Festsetzungsfristen gesondert betrachten.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GwG § 8: grundsätzlich fünf Jahre, längere gesetzliche Pflichten berücksichtigen; gesetzliche Vernichtungsgrenze und konkreten Fristbeginn prüfen.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Sonstige Daten: Erforderlichkeit für Zweck und Rechtsgrundlage beurteilen. Der Speicherort allein begründet keine Frist.</w:t>
      </w:r>
    </w:p>
    <w:p>
      <w:pPr>
        <w:pStyle w:val="Heading1"/>
      </w:pPr>
      <w:r>
        <w:rPr>
          <w:rFonts w:ascii="Arial" w:hAnsi="Arial"/>
          <w:color w:val="000000"/>
        </w:rPr>
        <w:t>Frist berechnen</w:t>
      </w:r>
    </w:p>
    <w:p>
      <w:pPr>
        <w:ind w:right="1800"/>
      </w:pPr>
      <w:r>
        <w:rPr>
          <w:rFonts w:ascii="Arial" w:hAnsi="Arial"/>
        </w:rPr>
        <w:t>Auslösendes Ereignis: [Beschreibung und Datum]</w:t>
        <w:br/>
        <w:t>Gesetzlicher Fristbeginn: [Datum / Jahresende]</w:t>
        <w:br/>
        <w:t>Reguläres Fristende: [Datum]</w:t>
        <w:br/>
        <w:t>Frühester Löschzeitpunkt: [Datum, vor Prüfung weiterer Pflichten und Sperren]</w:t>
      </w:r>
    </w:p>
    <w:p>
      <w:pPr>
        <w:pStyle w:val="Heading1"/>
      </w:pPr>
      <w:r>
        <w:rPr>
          <w:rFonts w:ascii="Arial" w:hAnsi="Arial"/>
          <w:color w:val="000000"/>
        </w:rPr>
        <w:t>Ausnahmen und Konflikte entscheiden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2389"/>
        <w:gridCol w:w="2670"/>
        <w:gridCol w:w="2530"/>
        <w:gridCol w:w="2389"/>
        <w:gridCol w:w="1968"/>
        <w:gridCol w:w="2108"/>
      </w:tblGrid>
      <w:tr>
        <w:trPr>
          <w:cantSplit/>
          <w:tblHeader w:val="true"/>
        </w:trPr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Anlass / Sperre</w:t>
            </w:r>
          </w:p>
        </w:tc>
        <w:tc>
          <w:tcPr>
            <w:tcW w:type="dxa" w:w="267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Konkrete Rechtsgrundlage</w:t>
            </w:r>
          </w:p>
        </w:tc>
        <w:tc>
          <w:tcPr>
            <w:tcW w:type="dxa" w:w="253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Betroffene Unterlagen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Entscheidung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Verantwortlich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Wiedervorlage</w:t>
            </w:r>
          </w:p>
        </w:tc>
      </w:tr>
      <w:tr>
        <w:trPr>
          <w:cantSplit/>
        </w:trPr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[Datum]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Mehrere Pflichten werden inhaltlich aufgelöst. Bei gesetzlichen Höchstfristen nicht lediglich das rechnerisch längste Datum übernehmen. Aufbewahrung bedeutet keine beliebige Weiterverwendung. Artikel 18 DSGVO nur bei seinen eigenen Voraussetzungen anwenden.</w:t>
      </w:r>
    </w:p>
    <w:p>
      <w:pPr>
        <w:pStyle w:val="Heading1"/>
      </w:pPr>
      <w:r>
        <w:rPr>
          <w:rFonts w:ascii="Arial" w:hAnsi="Arial"/>
          <w:color w:val="000000"/>
        </w:rPr>
        <w:t>Umsetzung nachweisen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Zulässige Archivzugriffe und Nutzungszwecke: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Löschverfahren je System und Kopie: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Sicherungen und erneute Löschung nach Wiederherstellung: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Umgang mit laufendem Auskunfts- oder Löschersuchen: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Ausführung: [Datum / Umfang / Ergebnis / Ausnahmen]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Prüfung und Freigabe: [Person / Datum]</w:t>
      </w:r>
    </w:p>
    <w:p>
      <w:pPr>
        <w:pStyle w:val="Heading1"/>
      </w:pPr>
      <w:r>
        <w:rPr>
          <w:rFonts w:ascii="Arial" w:hAnsi="Arial"/>
          <w:color w:val="000000"/>
        </w:rPr>
        <w:t>Quellen</w:t>
      </w:r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1">
        <w:r>
          <w:rPr>
            <w:rFonts w:ascii="Arial" w:hAnsi="Arial"/>
            <w:color w:val="047857"/>
            <w:u w:val="single"/>
          </w:rPr>
          <w:t xml:space="preserve">HGB § 257</w:t>
        </w:r>
      </w:hyperlink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2">
        <w:r>
          <w:rPr>
            <w:rFonts w:ascii="Arial" w:hAnsi="Arial"/>
            <w:color w:val="047857"/>
            <w:u w:val="single"/>
          </w:rPr>
          <w:t xml:space="preserve">AO § 147</w:t>
        </w:r>
      </w:hyperlink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3">
        <w:r>
          <w:rPr>
            <w:rFonts w:ascii="Arial" w:hAnsi="Arial"/>
            <w:color w:val="047857"/>
            <w:u w:val="single"/>
          </w:rPr>
          <w:t xml:space="preserve">GwG § 8</w:t>
        </w:r>
      </w:hyperlink>
    </w:p>
    <w:p>
      <w:pPr>
        <w:spacing w:after="100"/>
        <w:ind w:left="259" w:hanging="259" w:right="1800"/>
      </w:pPr>
      <w:r>
        <w:rPr>
          <w:rFonts w:ascii="Arial" w:hAnsi="Arial"/>
        </w:rPr>
        <w:t xml:space="preserve">- </w:t>
      </w:r>
      <w:hyperlink r:id="rId14">
        <w:r>
          <w:rPr>
            <w:rFonts w:ascii="Arial" w:hAnsi="Arial"/>
            <w:color w:val="047857"/>
            <w:u w:val="single"/>
          </w:rPr>
          <w:t xml:space="preserve">DSGVO, Artikel 5, 17 und 18</w:t>
        </w:r>
      </w:hyperlink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gesetze-im-internet.de/hgb/__257.html" TargetMode="External"/><Relationship Id="rId12" Type="http://schemas.openxmlformats.org/officeDocument/2006/relationships/hyperlink" Target="https://www.gesetze-im-internet.de/ao_1977/__147.html" TargetMode="External"/><Relationship Id="rId13" Type="http://schemas.openxmlformats.org/officeDocument/2006/relationships/hyperlink" Target="https://www.gesetze-im-internet.de/gwg_2017/__8.html" TargetMode="External"/><Relationship Id="rId14" Type="http://schemas.openxmlformats.org/officeDocument/2006/relationships/hyperlink" Target="https://eur-lex.europa.eu/eli/reg/2016/679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Bankunterlagen: Fristen- und Löschentscheidung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